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21559620" w14:textId="77777777" w:rsidTr="00B83AD7">
        <w:tc>
          <w:tcPr>
            <w:tcW w:w="9071" w:type="dxa"/>
            <w:gridSpan w:val="2"/>
          </w:tcPr>
          <w:p w14:paraId="6EA093DE"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B83AD7" w14:paraId="799D75F1" w14:textId="77777777" w:rsidTr="00B83AD7">
        <w:tc>
          <w:tcPr>
            <w:tcW w:w="3685" w:type="dxa"/>
            <w:vAlign w:val="center"/>
          </w:tcPr>
          <w:p w14:paraId="6B6D0172" w14:textId="77777777" w:rsidR="00B83AD7" w:rsidRPr="001313CB" w:rsidRDefault="00B83AD7" w:rsidP="00B83AD7">
            <w:pPr>
              <w:rPr>
                <w:rFonts w:ascii="Times New Roman" w:hAnsi="Times New Roman" w:cs="Times New Roman"/>
              </w:rPr>
            </w:pPr>
            <w:r w:rsidRPr="001313CB">
              <w:rPr>
                <w:rFonts w:ascii="Times New Roman" w:hAnsi="Times New Roman" w:cs="Times New Roman"/>
                <w:b/>
                <w:szCs w:val="24"/>
              </w:rPr>
              <w:t>Ziel</w:t>
            </w:r>
          </w:p>
        </w:tc>
        <w:tc>
          <w:tcPr>
            <w:tcW w:w="5386" w:type="dxa"/>
          </w:tcPr>
          <w:p w14:paraId="4FDD589E" w14:textId="33657C46" w:rsidR="00B83AD7" w:rsidRPr="00B83AD7" w:rsidRDefault="00B83AD7" w:rsidP="00B83AD7">
            <w:pPr>
              <w:rPr>
                <w:rFonts w:ascii="Times New Roman" w:hAnsi="Times New Roman" w:cs="Times New Roman"/>
              </w:rPr>
            </w:pPr>
            <w:r w:rsidRPr="00B83AD7">
              <w:rPr>
                <w:rFonts w:ascii="Times New Roman" w:hAnsi="Times New Roman" w:cs="Times New Roman"/>
              </w:rPr>
              <w:t>Festlegung des Verfahrens für eine transparente und sichere Risikobeurteilung und der sich hieraus ergebenden Handhabung von MP.</w:t>
            </w:r>
          </w:p>
        </w:tc>
      </w:tr>
      <w:tr w:rsidR="00B83AD7" w14:paraId="63FE4663" w14:textId="77777777" w:rsidTr="00B83AD7">
        <w:tc>
          <w:tcPr>
            <w:tcW w:w="3685" w:type="dxa"/>
            <w:vAlign w:val="center"/>
          </w:tcPr>
          <w:p w14:paraId="28C2A8DF" w14:textId="77777777" w:rsidR="00B83AD7" w:rsidRPr="001313CB" w:rsidRDefault="00B83AD7" w:rsidP="00B83AD7">
            <w:pPr>
              <w:rPr>
                <w:rFonts w:ascii="Times New Roman" w:hAnsi="Times New Roman" w:cs="Times New Roman"/>
              </w:rPr>
            </w:pPr>
            <w:r w:rsidRPr="001313CB">
              <w:rPr>
                <w:rFonts w:ascii="Times New Roman" w:hAnsi="Times New Roman" w:cs="Times New Roman"/>
                <w:b/>
                <w:szCs w:val="24"/>
              </w:rPr>
              <w:t>Anwendungsbereich</w:t>
            </w:r>
          </w:p>
        </w:tc>
        <w:tc>
          <w:tcPr>
            <w:tcW w:w="5386" w:type="dxa"/>
            <w:vAlign w:val="center"/>
          </w:tcPr>
          <w:p w14:paraId="4ED5327A" w14:textId="575D5794" w:rsidR="00B83AD7" w:rsidRPr="00B83AD7" w:rsidRDefault="00B83AD7" w:rsidP="00B83AD7">
            <w:pPr>
              <w:rPr>
                <w:rFonts w:ascii="Times New Roman" w:hAnsi="Times New Roman" w:cs="Times New Roman"/>
              </w:rPr>
            </w:pPr>
            <w:r w:rsidRPr="00B83AD7">
              <w:rPr>
                <w:rFonts w:ascii="Times New Roman" w:hAnsi="Times New Roman" w:cs="Times New Roman"/>
              </w:rPr>
              <w:t>AEMP EL</w:t>
            </w:r>
          </w:p>
        </w:tc>
      </w:tr>
      <w:tr w:rsidR="00B83AD7" w14:paraId="297BA0CA" w14:textId="77777777" w:rsidTr="00B83AD7">
        <w:tc>
          <w:tcPr>
            <w:tcW w:w="3685" w:type="dxa"/>
            <w:vAlign w:val="center"/>
          </w:tcPr>
          <w:p w14:paraId="2CDF3C87" w14:textId="77777777" w:rsidR="00B83AD7" w:rsidRPr="001313CB" w:rsidRDefault="00B83AD7" w:rsidP="00B83AD7">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vAlign w:val="center"/>
          </w:tcPr>
          <w:p w14:paraId="0B21C47D" w14:textId="5F05FE95" w:rsidR="00B83AD7" w:rsidRPr="00B83AD7" w:rsidRDefault="00BC3C19" w:rsidP="00B83AD7">
            <w:pPr>
              <w:rPr>
                <w:rFonts w:ascii="Times New Roman" w:hAnsi="Times New Roman" w:cs="Times New Roman"/>
              </w:rPr>
            </w:pPr>
            <w:r>
              <w:rPr>
                <w:rFonts w:ascii="Times New Roman" w:hAnsi="Times New Roman" w:cs="Times New Roman"/>
              </w:rPr>
              <w:t>TSA</w:t>
            </w:r>
            <w:r w:rsidR="00B83AD7" w:rsidRPr="00B83AD7">
              <w:rPr>
                <w:rFonts w:ascii="Times New Roman" w:hAnsi="Times New Roman" w:cs="Times New Roman"/>
              </w:rPr>
              <w:t>/Leitung AEMP</w:t>
            </w:r>
          </w:p>
        </w:tc>
      </w:tr>
      <w:tr w:rsidR="00B83AD7" w14:paraId="4598FC5B" w14:textId="77777777" w:rsidTr="00B83AD7">
        <w:tc>
          <w:tcPr>
            <w:tcW w:w="3685" w:type="dxa"/>
            <w:vAlign w:val="center"/>
          </w:tcPr>
          <w:p w14:paraId="06D433C3" w14:textId="77777777" w:rsidR="00B83AD7" w:rsidRPr="001313CB" w:rsidRDefault="00B83AD7" w:rsidP="00B83AD7">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1703E81C" w14:textId="77777777" w:rsidR="00B83AD7" w:rsidRPr="00B83AD7" w:rsidRDefault="00B83AD7" w:rsidP="00B83AD7">
            <w:pPr>
              <w:pStyle w:val="InhaltSAA"/>
              <w:rPr>
                <w:szCs w:val="22"/>
              </w:rPr>
            </w:pPr>
            <w:r w:rsidRPr="00B83AD7">
              <w:rPr>
                <w:szCs w:val="22"/>
              </w:rPr>
              <w:t>DIN EN ISO 14971 - Medizinprodukte – Anwendung des Risikomanagements auf Medizinprodukte</w:t>
            </w:r>
          </w:p>
          <w:p w14:paraId="0BEC3452" w14:textId="77777777" w:rsidR="00B83AD7" w:rsidRPr="00B83AD7" w:rsidRDefault="00B83AD7" w:rsidP="00B83AD7">
            <w:pPr>
              <w:pStyle w:val="InhaltSAA"/>
              <w:rPr>
                <w:szCs w:val="22"/>
              </w:rPr>
            </w:pPr>
            <w:r w:rsidRPr="00B83AD7">
              <w:rPr>
                <w:szCs w:val="22"/>
              </w:rPr>
              <w:t>DIN EN ISO 13485 - Medizinprodukte – Qualitätsmanagementsysteme – Anforderungen für regulatorische Zwecke</w:t>
            </w:r>
          </w:p>
          <w:p w14:paraId="7F9FDF77" w14:textId="77777777" w:rsidR="00B83AD7" w:rsidRPr="00B83AD7" w:rsidRDefault="00B83AD7" w:rsidP="00B83AD7">
            <w:pPr>
              <w:pStyle w:val="InhaltSAA"/>
              <w:rPr>
                <w:szCs w:val="22"/>
              </w:rPr>
            </w:pPr>
            <w:r w:rsidRPr="00B83AD7">
              <w:rPr>
                <w:szCs w:val="22"/>
              </w:rPr>
              <w:t>DGSV_Flussdiagramm_Einstufung_MP</w:t>
            </w:r>
          </w:p>
          <w:p w14:paraId="334CC27B" w14:textId="77777777" w:rsidR="00B83AD7" w:rsidRPr="00B83AD7" w:rsidRDefault="00B83AD7" w:rsidP="00B83AD7">
            <w:pPr>
              <w:pStyle w:val="InhaltSAA"/>
              <w:rPr>
                <w:szCs w:val="22"/>
              </w:rPr>
            </w:pPr>
            <w:r w:rsidRPr="00B83AD7">
              <w:rPr>
                <w:szCs w:val="22"/>
              </w:rPr>
              <w:t>MPG</w:t>
            </w:r>
          </w:p>
          <w:p w14:paraId="22CDB20A" w14:textId="77777777" w:rsidR="00B83AD7" w:rsidRPr="00B83AD7" w:rsidRDefault="00B83AD7" w:rsidP="00B83AD7">
            <w:pPr>
              <w:pStyle w:val="InhaltSAA"/>
              <w:rPr>
                <w:szCs w:val="22"/>
              </w:rPr>
            </w:pPr>
            <w:r w:rsidRPr="00B83AD7">
              <w:rPr>
                <w:szCs w:val="22"/>
              </w:rPr>
              <w:t>MPBetreibV</w:t>
            </w:r>
          </w:p>
          <w:p w14:paraId="4833FCCE" w14:textId="77777777" w:rsidR="00B83AD7" w:rsidRPr="00B83AD7" w:rsidRDefault="00B83AD7" w:rsidP="00B83AD7">
            <w:pPr>
              <w:pStyle w:val="InhaltSAA"/>
              <w:rPr>
                <w:szCs w:val="22"/>
              </w:rPr>
            </w:pPr>
            <w:r w:rsidRPr="00B83AD7">
              <w:rPr>
                <w:szCs w:val="22"/>
              </w:rPr>
              <w:t>KRINKO_RKI_BfArM_Empfehlung</w:t>
            </w:r>
          </w:p>
          <w:p w14:paraId="0D763624" w14:textId="77777777" w:rsidR="00B83AD7" w:rsidRPr="00B83AD7" w:rsidRDefault="00B83AD7" w:rsidP="00B83AD7">
            <w:pPr>
              <w:pStyle w:val="InhaltSAA"/>
              <w:rPr>
                <w:szCs w:val="22"/>
              </w:rPr>
            </w:pPr>
            <w:r w:rsidRPr="00B83AD7">
              <w:rPr>
                <w:szCs w:val="22"/>
              </w:rPr>
              <w:t>GefStoffV</w:t>
            </w:r>
          </w:p>
          <w:p w14:paraId="0B07CB9D" w14:textId="77777777" w:rsidR="00B83AD7" w:rsidRPr="00B83AD7" w:rsidRDefault="00B83AD7" w:rsidP="00B83AD7">
            <w:pPr>
              <w:pStyle w:val="InhaltSAA"/>
              <w:rPr>
                <w:szCs w:val="22"/>
              </w:rPr>
            </w:pPr>
            <w:r w:rsidRPr="00B83AD7">
              <w:rPr>
                <w:szCs w:val="22"/>
              </w:rPr>
              <w:t>BioStoffV</w:t>
            </w:r>
          </w:p>
          <w:p w14:paraId="15D2732B" w14:textId="451AF2EB" w:rsidR="00B83AD7" w:rsidRPr="00B83AD7" w:rsidRDefault="00B83AD7" w:rsidP="00B83AD7">
            <w:pPr>
              <w:rPr>
                <w:rFonts w:ascii="Times New Roman" w:hAnsi="Times New Roman" w:cs="Times New Roman"/>
              </w:rPr>
            </w:pPr>
            <w:r w:rsidRPr="00B83AD7">
              <w:rPr>
                <w:rFonts w:ascii="Times New Roman" w:hAnsi="Times New Roman" w:cs="Times New Roman"/>
              </w:rPr>
              <w:t>TRBA_250</w:t>
            </w:r>
          </w:p>
        </w:tc>
      </w:tr>
    </w:tbl>
    <w:p w14:paraId="191610B1" w14:textId="29637F2D" w:rsidR="00F65A1D" w:rsidRDefault="008B7FCC" w:rsidP="001313CB">
      <w:pPr>
        <w:spacing w:after="0" w:line="240" w:lineRule="auto"/>
        <w:rPr>
          <w:rFonts w:ascii="Times New Roman" w:hAnsi="Times New Roman" w:cs="Times New Roman"/>
        </w:rPr>
      </w:pPr>
    </w:p>
    <w:p w14:paraId="6912A4EE" w14:textId="77777777" w:rsidR="00B83AD7" w:rsidRDefault="00B83AD7" w:rsidP="001313CB">
      <w:pPr>
        <w:spacing w:after="0" w:line="240" w:lineRule="auto"/>
        <w:rPr>
          <w:rFonts w:ascii="Times New Roman" w:hAnsi="Times New Roman" w:cs="Times New Roman"/>
        </w:rPr>
      </w:pPr>
    </w:p>
    <w:p w14:paraId="1E9720EE" w14:textId="77777777" w:rsidR="00B83AD7" w:rsidRPr="00B83AD7" w:rsidRDefault="00B83AD7" w:rsidP="00B83AD7">
      <w:pPr>
        <w:spacing w:after="0" w:line="240" w:lineRule="auto"/>
        <w:rPr>
          <w:rFonts w:ascii="Times New Roman" w:hAnsi="Times New Roman" w:cs="Times New Roman"/>
          <w:b/>
        </w:rPr>
      </w:pPr>
      <w:r w:rsidRPr="00B83AD7">
        <w:rPr>
          <w:rFonts w:ascii="Times New Roman" w:hAnsi="Times New Roman" w:cs="Times New Roman"/>
          <w:b/>
        </w:rPr>
        <w:t>Beschreibung</w:t>
      </w:r>
    </w:p>
    <w:p w14:paraId="26D71C0F" w14:textId="77777777" w:rsidR="00B83AD7" w:rsidRPr="00B83AD7" w:rsidRDefault="00B83AD7" w:rsidP="00B83AD7">
      <w:pPr>
        <w:spacing w:after="0" w:line="240" w:lineRule="auto"/>
        <w:rPr>
          <w:rStyle w:val="berschriftVA"/>
          <w:rFonts w:ascii="Times New Roman" w:hAnsi="Times New Roman" w:cs="Times New Roman"/>
          <w:szCs w:val="24"/>
        </w:rPr>
      </w:pPr>
      <w:r w:rsidRPr="00B83AD7">
        <w:rPr>
          <w:rFonts w:ascii="Times New Roman" w:hAnsi="Times New Roman" w:cs="Times New Roman"/>
        </w:rPr>
        <w:t>Dieses Verfahren soll Ergebnisse in einer Form liefern, die die Art eines Risikos und die Möglichkeit seiner Verhinderung verstehen lassen. Durch die Festlegung der Zuständigkeiten und Abläufe sollen die einzelnen Prozessschritte beherrschbar, nachvollziehbar, wiederholbar und überprüfbar werden.</w:t>
      </w:r>
    </w:p>
    <w:p w14:paraId="255C3DDF" w14:textId="77777777" w:rsidR="00B83AD7" w:rsidRPr="00B83AD7" w:rsidRDefault="00B83AD7" w:rsidP="00B83AD7">
      <w:pPr>
        <w:spacing w:after="0" w:line="240" w:lineRule="auto"/>
        <w:rPr>
          <w:rStyle w:val="berschriftVA"/>
          <w:rFonts w:ascii="Times New Roman" w:hAnsi="Times New Roman" w:cs="Times New Roman"/>
          <w:szCs w:val="24"/>
        </w:rPr>
      </w:pPr>
    </w:p>
    <w:tbl>
      <w:tblPr>
        <w:tblStyle w:val="Tabellenraster"/>
        <w:tblW w:w="0" w:type="auto"/>
        <w:tblInd w:w="-5" w:type="dxa"/>
        <w:tblLook w:val="04A0" w:firstRow="1" w:lastRow="0" w:firstColumn="1" w:lastColumn="0" w:noHBand="0" w:noVBand="1"/>
      </w:tblPr>
      <w:tblGrid>
        <w:gridCol w:w="2429"/>
        <w:gridCol w:w="6638"/>
      </w:tblGrid>
      <w:tr w:rsidR="00B83AD7" w:rsidRPr="00B83AD7" w14:paraId="749761F8" w14:textId="77777777" w:rsidTr="00B83AD7">
        <w:tc>
          <w:tcPr>
            <w:tcW w:w="2410" w:type="dxa"/>
            <w:shd w:val="clear" w:color="auto" w:fill="00674D"/>
          </w:tcPr>
          <w:p w14:paraId="5EBE665B" w14:textId="77777777" w:rsidR="00B83AD7" w:rsidRPr="00B83AD7" w:rsidRDefault="00B83AD7" w:rsidP="00B83AD7">
            <w:pPr>
              <w:rPr>
                <w:rStyle w:val="berschriftVA"/>
                <w:rFonts w:ascii="Times New Roman" w:hAnsi="Times New Roman" w:cs="Times New Roman"/>
                <w:color w:val="FFFFFF" w:themeColor="background1"/>
                <w:szCs w:val="24"/>
                <w:u w:val="none"/>
              </w:rPr>
            </w:pPr>
            <w:r w:rsidRPr="00B83AD7">
              <w:rPr>
                <w:rStyle w:val="berschriftVA"/>
                <w:rFonts w:ascii="Times New Roman" w:hAnsi="Times New Roman" w:cs="Times New Roman"/>
                <w:color w:val="FFFFFF" w:themeColor="background1"/>
                <w:szCs w:val="24"/>
                <w:u w:val="none"/>
              </w:rPr>
              <w:t>Begriffe</w:t>
            </w:r>
          </w:p>
        </w:tc>
        <w:tc>
          <w:tcPr>
            <w:tcW w:w="6657" w:type="dxa"/>
            <w:shd w:val="clear" w:color="auto" w:fill="00674D"/>
          </w:tcPr>
          <w:p w14:paraId="4969A2CD" w14:textId="77777777" w:rsidR="00B83AD7" w:rsidRPr="00B83AD7" w:rsidRDefault="00B83AD7" w:rsidP="00B83AD7">
            <w:pPr>
              <w:rPr>
                <w:rStyle w:val="berschriftVA"/>
                <w:rFonts w:ascii="Times New Roman" w:hAnsi="Times New Roman" w:cs="Times New Roman"/>
                <w:b w:val="0"/>
                <w:bCs w:val="0"/>
                <w:color w:val="FFFFFF" w:themeColor="background1"/>
                <w:szCs w:val="24"/>
                <w:u w:val="none"/>
              </w:rPr>
            </w:pPr>
            <w:r w:rsidRPr="00B83AD7">
              <w:rPr>
                <w:rStyle w:val="berschriftVA"/>
                <w:rFonts w:ascii="Times New Roman" w:hAnsi="Times New Roman" w:cs="Times New Roman"/>
                <w:b w:val="0"/>
                <w:bCs w:val="0"/>
                <w:color w:val="FFFFFF" w:themeColor="background1"/>
                <w:szCs w:val="24"/>
                <w:u w:val="none"/>
              </w:rPr>
              <w:t xml:space="preserve">(nach </w:t>
            </w:r>
            <w:r w:rsidRPr="00B83AD7">
              <w:rPr>
                <w:rFonts w:ascii="Times New Roman" w:hAnsi="Times New Roman" w:cs="Times New Roman"/>
                <w:color w:val="FFFFFF" w:themeColor="background1"/>
                <w:szCs w:val="24"/>
              </w:rPr>
              <w:t>DIN EN ISO 14971)</w:t>
            </w:r>
          </w:p>
        </w:tc>
      </w:tr>
      <w:tr w:rsidR="00B83AD7" w:rsidRPr="00B83AD7" w14:paraId="288D9D42" w14:textId="77777777" w:rsidTr="00B83AD7">
        <w:tc>
          <w:tcPr>
            <w:tcW w:w="2410" w:type="dxa"/>
          </w:tcPr>
          <w:p w14:paraId="6E965C94" w14:textId="77777777" w:rsidR="00B83AD7" w:rsidRPr="00B83AD7" w:rsidRDefault="00B83AD7" w:rsidP="00B83AD7">
            <w:pPr>
              <w:rPr>
                <w:rStyle w:val="berschriftVA"/>
                <w:rFonts w:ascii="Times New Roman" w:hAnsi="Times New Roman" w:cs="Times New Roman"/>
                <w:b w:val="0"/>
                <w:szCs w:val="24"/>
              </w:rPr>
            </w:pPr>
            <w:r w:rsidRPr="00B83AD7">
              <w:rPr>
                <w:rFonts w:ascii="Times New Roman" w:hAnsi="Times New Roman" w:cs="Times New Roman"/>
                <w:b/>
                <w:szCs w:val="24"/>
              </w:rPr>
              <w:t>Restrisiko</w:t>
            </w:r>
          </w:p>
        </w:tc>
        <w:tc>
          <w:tcPr>
            <w:tcW w:w="6657" w:type="dxa"/>
          </w:tcPr>
          <w:p w14:paraId="196A92C7" w14:textId="77777777" w:rsidR="00B83AD7" w:rsidRPr="00B83AD7" w:rsidRDefault="00B83AD7" w:rsidP="00B83AD7">
            <w:pPr>
              <w:pStyle w:val="ArbeitsvorbereitungPunkte"/>
              <w:numPr>
                <w:ilvl w:val="0"/>
                <w:numId w:val="0"/>
              </w:numPr>
              <w:rPr>
                <w:rStyle w:val="berschriftVA"/>
                <w:b w:val="0"/>
                <w:bCs w:val="0"/>
                <w:szCs w:val="24"/>
              </w:rPr>
            </w:pPr>
            <w:r w:rsidRPr="00B83AD7">
              <w:rPr>
                <w:szCs w:val="24"/>
              </w:rPr>
              <w:t xml:space="preserve">Risiko, das nach der Durchführung von Maßnahmen zur Risikobeherrschung verbleibt </w:t>
            </w:r>
          </w:p>
        </w:tc>
      </w:tr>
      <w:tr w:rsidR="00B83AD7" w:rsidRPr="00B83AD7" w14:paraId="464A56F2" w14:textId="77777777" w:rsidTr="00B83AD7">
        <w:tc>
          <w:tcPr>
            <w:tcW w:w="2410" w:type="dxa"/>
          </w:tcPr>
          <w:p w14:paraId="5BD6B2F5" w14:textId="77777777" w:rsidR="00B83AD7" w:rsidRPr="00B83AD7" w:rsidRDefault="00B83AD7" w:rsidP="00B83AD7">
            <w:pPr>
              <w:pStyle w:val="ArbeitsvorbereitungPunkte"/>
              <w:numPr>
                <w:ilvl w:val="0"/>
                <w:numId w:val="0"/>
              </w:numPr>
              <w:rPr>
                <w:rStyle w:val="berschriftVA"/>
                <w:b w:val="0"/>
                <w:bCs w:val="0"/>
                <w:szCs w:val="24"/>
              </w:rPr>
            </w:pPr>
            <w:r w:rsidRPr="00B83AD7">
              <w:rPr>
                <w:b/>
                <w:szCs w:val="24"/>
              </w:rPr>
              <w:t>Risiko</w:t>
            </w:r>
          </w:p>
        </w:tc>
        <w:tc>
          <w:tcPr>
            <w:tcW w:w="6657" w:type="dxa"/>
          </w:tcPr>
          <w:p w14:paraId="569C53DE" w14:textId="77777777" w:rsidR="00B83AD7" w:rsidRPr="00B83AD7" w:rsidRDefault="00B83AD7" w:rsidP="00B83AD7">
            <w:pPr>
              <w:pStyle w:val="ArbeitsvorbereitungPunkte"/>
              <w:numPr>
                <w:ilvl w:val="0"/>
                <w:numId w:val="0"/>
              </w:numPr>
              <w:rPr>
                <w:rStyle w:val="berschriftVA"/>
                <w:b w:val="0"/>
                <w:bCs w:val="0"/>
                <w:szCs w:val="24"/>
              </w:rPr>
            </w:pPr>
            <w:r w:rsidRPr="00B83AD7">
              <w:rPr>
                <w:szCs w:val="24"/>
              </w:rPr>
              <w:t>Kombination der Wahrscheinlichkeit des Auftretens eines Schadens und des Schweregrades dieses Schadens.</w:t>
            </w:r>
          </w:p>
        </w:tc>
      </w:tr>
      <w:tr w:rsidR="00B83AD7" w:rsidRPr="00B83AD7" w14:paraId="5E663E49" w14:textId="77777777" w:rsidTr="00B83AD7">
        <w:tc>
          <w:tcPr>
            <w:tcW w:w="2410" w:type="dxa"/>
          </w:tcPr>
          <w:p w14:paraId="2CF65FF3" w14:textId="77777777" w:rsidR="00B83AD7" w:rsidRPr="00B83AD7" w:rsidRDefault="00B83AD7" w:rsidP="00B83AD7">
            <w:pPr>
              <w:pStyle w:val="ArbeitsvorbereitungPunkte"/>
              <w:numPr>
                <w:ilvl w:val="0"/>
                <w:numId w:val="0"/>
              </w:numPr>
              <w:rPr>
                <w:rStyle w:val="berschriftVA"/>
                <w:bCs w:val="0"/>
                <w:szCs w:val="24"/>
              </w:rPr>
            </w:pPr>
            <w:r w:rsidRPr="00B83AD7">
              <w:rPr>
                <w:b/>
                <w:szCs w:val="24"/>
              </w:rPr>
              <w:t>Risikoanalyse</w:t>
            </w:r>
          </w:p>
        </w:tc>
        <w:tc>
          <w:tcPr>
            <w:tcW w:w="6657" w:type="dxa"/>
          </w:tcPr>
          <w:p w14:paraId="02CBC58C" w14:textId="77777777" w:rsidR="00B83AD7" w:rsidRPr="00B83AD7" w:rsidRDefault="00B83AD7" w:rsidP="00B83AD7">
            <w:pPr>
              <w:pStyle w:val="ArbeitsvorbereitungPunkte"/>
              <w:numPr>
                <w:ilvl w:val="0"/>
                <w:numId w:val="0"/>
              </w:numPr>
              <w:rPr>
                <w:rStyle w:val="berschriftVA"/>
                <w:b w:val="0"/>
                <w:bCs w:val="0"/>
                <w:szCs w:val="24"/>
              </w:rPr>
            </w:pPr>
            <w:r w:rsidRPr="00B83AD7">
              <w:rPr>
                <w:szCs w:val="24"/>
              </w:rPr>
              <w:t xml:space="preserve">Systematische Verwendung von verfügbaren Informationen zur Identifizierung von Gefährdungen und Einschätzung von Risiken </w:t>
            </w:r>
          </w:p>
        </w:tc>
      </w:tr>
      <w:tr w:rsidR="00B83AD7" w:rsidRPr="00B83AD7" w14:paraId="20CFBDBE" w14:textId="77777777" w:rsidTr="00B83AD7">
        <w:tc>
          <w:tcPr>
            <w:tcW w:w="2410" w:type="dxa"/>
          </w:tcPr>
          <w:p w14:paraId="137059BB" w14:textId="77777777" w:rsidR="00B83AD7" w:rsidRPr="00B83AD7" w:rsidRDefault="00B83AD7" w:rsidP="00B83AD7">
            <w:pPr>
              <w:pStyle w:val="ArbeitsvorbereitungPunkte"/>
              <w:numPr>
                <w:ilvl w:val="0"/>
                <w:numId w:val="0"/>
              </w:numPr>
              <w:rPr>
                <w:rStyle w:val="berschriftVA"/>
                <w:b w:val="0"/>
                <w:bCs w:val="0"/>
                <w:szCs w:val="24"/>
              </w:rPr>
            </w:pPr>
            <w:r w:rsidRPr="00B83AD7">
              <w:rPr>
                <w:b/>
                <w:szCs w:val="24"/>
              </w:rPr>
              <w:t>Risikobeurteilung</w:t>
            </w:r>
          </w:p>
        </w:tc>
        <w:tc>
          <w:tcPr>
            <w:tcW w:w="6657" w:type="dxa"/>
          </w:tcPr>
          <w:p w14:paraId="582F11EE" w14:textId="77777777" w:rsidR="00B83AD7" w:rsidRPr="00B83AD7" w:rsidRDefault="00B83AD7" w:rsidP="00B83AD7">
            <w:pPr>
              <w:pStyle w:val="ArbeitsvorbereitungPunkte"/>
              <w:numPr>
                <w:ilvl w:val="0"/>
                <w:numId w:val="0"/>
              </w:numPr>
              <w:rPr>
                <w:rStyle w:val="berschriftVA"/>
                <w:b w:val="0"/>
                <w:bCs w:val="0"/>
                <w:szCs w:val="24"/>
              </w:rPr>
            </w:pPr>
            <w:r w:rsidRPr="00B83AD7">
              <w:rPr>
                <w:szCs w:val="24"/>
              </w:rPr>
              <w:t xml:space="preserve">Gesamtprozess, der eine Risikoanalyse und eine Risikobewertung umfasst </w:t>
            </w:r>
          </w:p>
        </w:tc>
      </w:tr>
      <w:tr w:rsidR="00B83AD7" w:rsidRPr="00B83AD7" w14:paraId="1EB2DBC4" w14:textId="77777777" w:rsidTr="00B83AD7">
        <w:tc>
          <w:tcPr>
            <w:tcW w:w="2410" w:type="dxa"/>
          </w:tcPr>
          <w:p w14:paraId="5CAED32D" w14:textId="77777777" w:rsidR="00B83AD7" w:rsidRPr="00B83AD7" w:rsidRDefault="00B83AD7" w:rsidP="00B83AD7">
            <w:pPr>
              <w:pStyle w:val="StandardWeb"/>
              <w:spacing w:before="0" w:beforeAutospacing="0" w:after="0" w:afterAutospacing="0"/>
              <w:rPr>
                <w:rStyle w:val="berschriftVA"/>
                <w:b w:val="0"/>
                <w:bCs w:val="0"/>
              </w:rPr>
            </w:pPr>
            <w:r w:rsidRPr="00B83AD7">
              <w:rPr>
                <w:b/>
                <w:sz w:val="22"/>
              </w:rPr>
              <w:t xml:space="preserve">Risikobeherrschung </w:t>
            </w:r>
          </w:p>
        </w:tc>
        <w:tc>
          <w:tcPr>
            <w:tcW w:w="6657" w:type="dxa"/>
          </w:tcPr>
          <w:p w14:paraId="39E8452E" w14:textId="77777777" w:rsidR="00B83AD7" w:rsidRPr="00B83AD7" w:rsidRDefault="00B83AD7" w:rsidP="00B83AD7">
            <w:pPr>
              <w:pStyle w:val="StandardWeb"/>
              <w:spacing w:before="0" w:beforeAutospacing="0" w:after="0" w:afterAutospacing="0"/>
              <w:rPr>
                <w:rStyle w:val="berschriftVA"/>
                <w:b w:val="0"/>
                <w:bCs w:val="0"/>
              </w:rPr>
            </w:pPr>
            <w:r w:rsidRPr="00B83AD7">
              <w:rPr>
                <w:sz w:val="22"/>
              </w:rPr>
              <w:t xml:space="preserve">Prozess, in dem Entscheidungen getroffen und Maßnahmen implementiert werden, durch die Risiken auf festgelegte Bereiche verringert oder auf diesen gehalten werden </w:t>
            </w:r>
          </w:p>
        </w:tc>
      </w:tr>
      <w:tr w:rsidR="00B83AD7" w:rsidRPr="00B83AD7" w14:paraId="689F8267" w14:textId="77777777" w:rsidTr="00B83AD7">
        <w:tc>
          <w:tcPr>
            <w:tcW w:w="2410" w:type="dxa"/>
          </w:tcPr>
          <w:p w14:paraId="4EA5B0D0" w14:textId="77777777" w:rsidR="00B83AD7" w:rsidRPr="00B83AD7" w:rsidRDefault="00B83AD7" w:rsidP="00B83AD7">
            <w:pPr>
              <w:pStyle w:val="StandardWeb"/>
              <w:spacing w:before="0" w:beforeAutospacing="0" w:after="0" w:afterAutospacing="0"/>
              <w:rPr>
                <w:rStyle w:val="berschriftVA"/>
                <w:b w:val="0"/>
                <w:bCs w:val="0"/>
              </w:rPr>
            </w:pPr>
            <w:r w:rsidRPr="00B83AD7">
              <w:rPr>
                <w:b/>
                <w:sz w:val="22"/>
              </w:rPr>
              <w:t>Risikoeinschätzung</w:t>
            </w:r>
          </w:p>
        </w:tc>
        <w:tc>
          <w:tcPr>
            <w:tcW w:w="6657" w:type="dxa"/>
          </w:tcPr>
          <w:p w14:paraId="457D07C2" w14:textId="77777777" w:rsidR="00B83AD7" w:rsidRPr="00B83AD7" w:rsidRDefault="00B83AD7" w:rsidP="00B83AD7">
            <w:pPr>
              <w:pStyle w:val="StandardWeb"/>
              <w:spacing w:before="0" w:beforeAutospacing="0" w:after="0" w:afterAutospacing="0"/>
              <w:rPr>
                <w:rStyle w:val="berschriftVA"/>
                <w:b w:val="0"/>
                <w:bCs w:val="0"/>
              </w:rPr>
            </w:pPr>
            <w:r w:rsidRPr="00B83AD7">
              <w:rPr>
                <w:sz w:val="22"/>
              </w:rPr>
              <w:t xml:space="preserve">Prozess, in dem Werte für die Wahrscheinlichkeit des Auftretens eines Schadens und für die Schwere dieses Schadens zugeordnet werden </w:t>
            </w:r>
          </w:p>
        </w:tc>
      </w:tr>
      <w:tr w:rsidR="00B83AD7" w:rsidRPr="00B83AD7" w14:paraId="02633632" w14:textId="77777777" w:rsidTr="00B83AD7">
        <w:tc>
          <w:tcPr>
            <w:tcW w:w="2410" w:type="dxa"/>
          </w:tcPr>
          <w:p w14:paraId="4A5A9CF5" w14:textId="77777777" w:rsidR="00B83AD7" w:rsidRPr="00B83AD7" w:rsidRDefault="00B83AD7" w:rsidP="00B83AD7">
            <w:pPr>
              <w:pStyle w:val="ArbeitsvorbereitungPunkte"/>
              <w:numPr>
                <w:ilvl w:val="0"/>
                <w:numId w:val="0"/>
              </w:numPr>
              <w:rPr>
                <w:rStyle w:val="berschriftVA"/>
                <w:b w:val="0"/>
                <w:bCs w:val="0"/>
                <w:szCs w:val="24"/>
              </w:rPr>
            </w:pPr>
            <w:r w:rsidRPr="00B83AD7">
              <w:rPr>
                <w:b/>
                <w:szCs w:val="24"/>
              </w:rPr>
              <w:t>Risikobewertung</w:t>
            </w:r>
          </w:p>
        </w:tc>
        <w:tc>
          <w:tcPr>
            <w:tcW w:w="6657" w:type="dxa"/>
          </w:tcPr>
          <w:p w14:paraId="1144404B" w14:textId="77777777" w:rsidR="00B83AD7" w:rsidRPr="00B83AD7" w:rsidRDefault="00B83AD7" w:rsidP="00B83AD7">
            <w:pPr>
              <w:pStyle w:val="ArbeitsvorbereitungPunkte"/>
              <w:numPr>
                <w:ilvl w:val="0"/>
                <w:numId w:val="0"/>
              </w:numPr>
              <w:rPr>
                <w:rStyle w:val="berschriftVA"/>
                <w:b w:val="0"/>
                <w:bCs w:val="0"/>
                <w:szCs w:val="24"/>
              </w:rPr>
            </w:pPr>
            <w:r w:rsidRPr="00B83AD7">
              <w:rPr>
                <w:szCs w:val="24"/>
              </w:rPr>
              <w:t xml:space="preserve">Prozess des Vergleichs des eingeschätzten Risikos mit gegebenen Risikokriterien, um die Akzeptanz des Risikos zu bestimmen </w:t>
            </w:r>
          </w:p>
        </w:tc>
      </w:tr>
      <w:tr w:rsidR="00B83AD7" w:rsidRPr="00B83AD7" w14:paraId="256BAD05" w14:textId="77777777" w:rsidTr="00B83AD7">
        <w:tc>
          <w:tcPr>
            <w:tcW w:w="2410" w:type="dxa"/>
          </w:tcPr>
          <w:p w14:paraId="3322D170" w14:textId="77777777" w:rsidR="00B83AD7" w:rsidRPr="00B83AD7" w:rsidRDefault="00B83AD7" w:rsidP="00B83AD7">
            <w:pPr>
              <w:pStyle w:val="StandardWeb"/>
              <w:spacing w:before="0" w:beforeAutospacing="0" w:after="0" w:afterAutospacing="0"/>
              <w:rPr>
                <w:b/>
                <w:sz w:val="22"/>
              </w:rPr>
            </w:pPr>
            <w:r w:rsidRPr="00B83AD7">
              <w:rPr>
                <w:b/>
                <w:sz w:val="22"/>
              </w:rPr>
              <w:t>Risikomanagement</w:t>
            </w:r>
          </w:p>
        </w:tc>
        <w:tc>
          <w:tcPr>
            <w:tcW w:w="6657" w:type="dxa"/>
          </w:tcPr>
          <w:p w14:paraId="59C99526" w14:textId="77777777" w:rsidR="00B83AD7" w:rsidRPr="00B83AD7" w:rsidRDefault="00B83AD7" w:rsidP="00B83AD7">
            <w:pPr>
              <w:pStyle w:val="StandardWeb"/>
              <w:spacing w:before="0" w:beforeAutospacing="0" w:after="0" w:afterAutospacing="0"/>
              <w:rPr>
                <w:sz w:val="22"/>
              </w:rPr>
            </w:pPr>
            <w:r w:rsidRPr="00B83AD7">
              <w:rPr>
                <w:sz w:val="22"/>
              </w:rPr>
              <w:t xml:space="preserve">Systematische Anwendung von Managementstrategien, Verfahren und Praktiken auf die Aufgaben der Analyse, Bewertung, Beherrschung und Überwachung von Risiken </w:t>
            </w:r>
          </w:p>
        </w:tc>
      </w:tr>
      <w:tr w:rsidR="00B83AD7" w:rsidRPr="00B83AD7" w14:paraId="48A513D6" w14:textId="77777777" w:rsidTr="00B83AD7">
        <w:tc>
          <w:tcPr>
            <w:tcW w:w="2410" w:type="dxa"/>
          </w:tcPr>
          <w:p w14:paraId="2ED966F8" w14:textId="77777777" w:rsidR="00B83AD7" w:rsidRPr="00B83AD7" w:rsidRDefault="00B83AD7" w:rsidP="00B83AD7">
            <w:pPr>
              <w:pStyle w:val="StandardWeb"/>
              <w:spacing w:before="0" w:beforeAutospacing="0" w:after="0" w:afterAutospacing="0"/>
              <w:rPr>
                <w:b/>
                <w:sz w:val="22"/>
              </w:rPr>
            </w:pPr>
            <w:r w:rsidRPr="00B83AD7">
              <w:rPr>
                <w:b/>
                <w:sz w:val="22"/>
              </w:rPr>
              <w:t>Risikomanagementakte</w:t>
            </w:r>
          </w:p>
        </w:tc>
        <w:tc>
          <w:tcPr>
            <w:tcW w:w="6657" w:type="dxa"/>
          </w:tcPr>
          <w:p w14:paraId="654FFCE0" w14:textId="77777777" w:rsidR="00B83AD7" w:rsidRPr="00B83AD7" w:rsidRDefault="00B83AD7" w:rsidP="00B83AD7">
            <w:pPr>
              <w:pStyle w:val="StandardWeb"/>
              <w:spacing w:before="0" w:beforeAutospacing="0" w:after="0" w:afterAutospacing="0"/>
              <w:rPr>
                <w:sz w:val="22"/>
              </w:rPr>
            </w:pPr>
            <w:r w:rsidRPr="00B83AD7">
              <w:rPr>
                <w:sz w:val="22"/>
              </w:rPr>
              <w:t xml:space="preserve">Satz von Aufzeichnungen und sonstigen Dokumenten, die beim Risikomanagement entstehen </w:t>
            </w:r>
          </w:p>
        </w:tc>
      </w:tr>
    </w:tbl>
    <w:p w14:paraId="7E8B23C6" w14:textId="51B0B048" w:rsidR="00B83AD7" w:rsidRDefault="00B83AD7">
      <w:pPr>
        <w:rPr>
          <w:rFonts w:ascii="Times New Roman" w:hAnsi="Times New Roman" w:cs="Times New Roman"/>
        </w:rPr>
      </w:pPr>
      <w:r>
        <w:rPr>
          <w:rFonts w:ascii="Times New Roman" w:hAnsi="Times New Roman" w:cs="Times New Roman"/>
        </w:rPr>
        <w:br w:type="page"/>
      </w:r>
    </w:p>
    <w:p w14:paraId="0CDD52B5" w14:textId="77777777" w:rsidR="00B83AD7" w:rsidRPr="00B83AD7" w:rsidRDefault="00B83AD7" w:rsidP="00B83AD7">
      <w:pPr>
        <w:suppressAutoHyphens/>
        <w:spacing w:after="0" w:line="240" w:lineRule="auto"/>
        <w:rPr>
          <w:rFonts w:ascii="Times New Roman" w:hAnsi="Times New Roman" w:cs="Times New Roman"/>
          <w:lang w:eastAsia="ar-SA"/>
        </w:rPr>
      </w:pPr>
    </w:p>
    <w:tbl>
      <w:tblPr>
        <w:tblW w:w="904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7"/>
        <w:gridCol w:w="1090"/>
        <w:gridCol w:w="1033"/>
        <w:gridCol w:w="25"/>
        <w:gridCol w:w="1208"/>
      </w:tblGrid>
      <w:tr w:rsidR="00B83AD7" w:rsidRPr="00B83AD7" w14:paraId="17C0B567" w14:textId="77777777" w:rsidTr="00E82F5D">
        <w:trPr>
          <w:cantSplit/>
        </w:trPr>
        <w:tc>
          <w:tcPr>
            <w:tcW w:w="5687" w:type="dxa"/>
            <w:shd w:val="clear" w:color="auto" w:fill="00674D"/>
            <w:tcMar>
              <w:left w:w="57" w:type="dxa"/>
              <w:right w:w="57" w:type="dxa"/>
            </w:tcMar>
          </w:tcPr>
          <w:p w14:paraId="21BA9058" w14:textId="77777777" w:rsidR="00B83AD7" w:rsidRPr="00B83AD7" w:rsidRDefault="00B83AD7" w:rsidP="00B83AD7">
            <w:pPr>
              <w:spacing w:beforeLines="20" w:before="48" w:afterLines="20" w:after="48" w:line="240" w:lineRule="auto"/>
              <w:rPr>
                <w:rFonts w:ascii="Times New Roman" w:hAnsi="Times New Roman" w:cs="Times New Roman"/>
                <w:b/>
                <w:color w:val="FFFFFF" w:themeColor="background1"/>
              </w:rPr>
            </w:pPr>
            <w:r w:rsidRPr="00B83AD7">
              <w:rPr>
                <w:rFonts w:ascii="Times New Roman" w:hAnsi="Times New Roman" w:cs="Times New Roman"/>
                <w:b/>
                <w:color w:val="FFFFFF" w:themeColor="background1"/>
              </w:rPr>
              <w:t>Aspekte des Risikomanagements</w:t>
            </w:r>
          </w:p>
        </w:tc>
        <w:tc>
          <w:tcPr>
            <w:tcW w:w="1090" w:type="dxa"/>
            <w:shd w:val="clear" w:color="auto" w:fill="00674D"/>
            <w:tcMar>
              <w:left w:w="57" w:type="dxa"/>
              <w:right w:w="57" w:type="dxa"/>
            </w:tcMar>
          </w:tcPr>
          <w:p w14:paraId="0D40485A" w14:textId="77777777" w:rsidR="00B83AD7" w:rsidRPr="00B83AD7" w:rsidRDefault="00B83AD7" w:rsidP="00B83AD7">
            <w:pPr>
              <w:spacing w:beforeLines="20" w:before="48" w:afterLines="20" w:after="48" w:line="240" w:lineRule="auto"/>
              <w:jc w:val="center"/>
              <w:rPr>
                <w:rFonts w:ascii="Times New Roman" w:hAnsi="Times New Roman" w:cs="Times New Roman"/>
                <w:b/>
                <w:color w:val="FFFFFF" w:themeColor="background1"/>
              </w:rPr>
            </w:pPr>
            <w:r w:rsidRPr="00B83AD7">
              <w:rPr>
                <w:rFonts w:ascii="Times New Roman" w:hAnsi="Times New Roman" w:cs="Times New Roman"/>
                <w:b/>
                <w:color w:val="FFFFFF" w:themeColor="background1"/>
              </w:rPr>
              <w:t>Betreiber</w:t>
            </w:r>
          </w:p>
        </w:tc>
        <w:tc>
          <w:tcPr>
            <w:tcW w:w="1033" w:type="dxa"/>
            <w:shd w:val="clear" w:color="auto" w:fill="00674D"/>
            <w:tcMar>
              <w:left w:w="57" w:type="dxa"/>
              <w:right w:w="57" w:type="dxa"/>
            </w:tcMar>
          </w:tcPr>
          <w:p w14:paraId="76246A00" w14:textId="77777777" w:rsidR="00B83AD7" w:rsidRPr="00B83AD7" w:rsidRDefault="00B83AD7" w:rsidP="00B83AD7">
            <w:pPr>
              <w:spacing w:beforeLines="20" w:before="48" w:afterLines="20" w:after="48" w:line="240" w:lineRule="auto"/>
              <w:jc w:val="center"/>
              <w:rPr>
                <w:rFonts w:ascii="Times New Roman" w:hAnsi="Times New Roman" w:cs="Times New Roman"/>
                <w:b/>
                <w:color w:val="FFFFFF" w:themeColor="background1"/>
              </w:rPr>
            </w:pPr>
            <w:r w:rsidRPr="00B83AD7">
              <w:rPr>
                <w:rFonts w:ascii="Times New Roman" w:hAnsi="Times New Roman" w:cs="Times New Roman"/>
                <w:b/>
                <w:color w:val="FFFFFF" w:themeColor="background1"/>
              </w:rPr>
              <w:t>Ltg. AEMP</w:t>
            </w:r>
          </w:p>
        </w:tc>
        <w:tc>
          <w:tcPr>
            <w:tcW w:w="1233" w:type="dxa"/>
            <w:gridSpan w:val="2"/>
            <w:shd w:val="clear" w:color="auto" w:fill="00674D"/>
            <w:tcMar>
              <w:left w:w="57" w:type="dxa"/>
              <w:right w:w="57" w:type="dxa"/>
            </w:tcMar>
          </w:tcPr>
          <w:p w14:paraId="6E0382E0" w14:textId="076A32AA" w:rsidR="00B83AD7" w:rsidRPr="00B83AD7" w:rsidRDefault="00B83AD7" w:rsidP="00B83AD7">
            <w:pPr>
              <w:spacing w:beforeLines="20" w:before="48" w:afterLines="20" w:after="48" w:line="240" w:lineRule="auto"/>
              <w:jc w:val="center"/>
              <w:rPr>
                <w:rFonts w:ascii="Times New Roman" w:hAnsi="Times New Roman" w:cs="Times New Roman"/>
                <w:b/>
                <w:color w:val="FFFFFF" w:themeColor="background1"/>
              </w:rPr>
            </w:pPr>
            <w:r w:rsidRPr="00B83AD7">
              <w:rPr>
                <w:rFonts w:ascii="Times New Roman" w:hAnsi="Times New Roman" w:cs="Times New Roman"/>
                <w:b/>
                <w:color w:val="FFFFFF" w:themeColor="background1"/>
              </w:rPr>
              <w:t>FK</w:t>
            </w:r>
            <w:r>
              <w:rPr>
                <w:rFonts w:ascii="Times New Roman" w:hAnsi="Times New Roman" w:cs="Times New Roman"/>
                <w:b/>
                <w:color w:val="FFFFFF" w:themeColor="background1"/>
              </w:rPr>
              <w:t xml:space="preserve"> </w:t>
            </w:r>
            <w:r w:rsidRPr="00B83AD7">
              <w:rPr>
                <w:rFonts w:ascii="Times New Roman" w:hAnsi="Times New Roman" w:cs="Times New Roman"/>
                <w:b/>
                <w:color w:val="FFFFFF" w:themeColor="background1"/>
              </w:rPr>
              <w:t>2 Pers</w:t>
            </w:r>
            <w:r>
              <w:rPr>
                <w:rFonts w:ascii="Times New Roman" w:hAnsi="Times New Roman" w:cs="Times New Roman"/>
                <w:b/>
                <w:color w:val="FFFFFF" w:themeColor="background1"/>
              </w:rPr>
              <w:t>onal</w:t>
            </w:r>
          </w:p>
        </w:tc>
      </w:tr>
      <w:tr w:rsidR="00B83AD7" w:rsidRPr="00B83AD7" w14:paraId="33549815" w14:textId="77777777" w:rsidTr="00E82F5D">
        <w:trPr>
          <w:cantSplit/>
        </w:trPr>
        <w:tc>
          <w:tcPr>
            <w:tcW w:w="5687" w:type="dxa"/>
            <w:tcMar>
              <w:left w:w="57" w:type="dxa"/>
              <w:right w:w="57" w:type="dxa"/>
            </w:tcMar>
          </w:tcPr>
          <w:p w14:paraId="56FBE4CB" w14:textId="77777777" w:rsidR="00B83AD7" w:rsidRPr="00B83AD7" w:rsidRDefault="00B83AD7" w:rsidP="00B83AD7">
            <w:pPr>
              <w:numPr>
                <w:ilvl w:val="0"/>
                <w:numId w:val="2"/>
              </w:numPr>
              <w:tabs>
                <w:tab w:val="clear" w:pos="360"/>
              </w:tabs>
              <w:spacing w:beforeLines="20" w:before="48" w:afterLines="20" w:after="48" w:line="240" w:lineRule="auto"/>
              <w:ind w:left="357" w:hanging="357"/>
              <w:rPr>
                <w:rFonts w:ascii="Times New Roman" w:hAnsi="Times New Roman" w:cs="Times New Roman"/>
                <w:b/>
              </w:rPr>
            </w:pPr>
            <w:r w:rsidRPr="00B83AD7">
              <w:rPr>
                <w:rFonts w:ascii="Times New Roman" w:hAnsi="Times New Roman" w:cs="Times New Roman"/>
                <w:b/>
              </w:rPr>
              <w:t>Risikoanalyse</w:t>
            </w:r>
          </w:p>
        </w:tc>
        <w:tc>
          <w:tcPr>
            <w:tcW w:w="1090" w:type="dxa"/>
            <w:tcMar>
              <w:left w:w="57" w:type="dxa"/>
              <w:right w:w="57" w:type="dxa"/>
            </w:tcMar>
          </w:tcPr>
          <w:p w14:paraId="18851850"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4502835D"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0C76598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18512933" w14:textId="77777777" w:rsidTr="00E82F5D">
        <w:trPr>
          <w:cantSplit/>
        </w:trPr>
        <w:tc>
          <w:tcPr>
            <w:tcW w:w="5687" w:type="dxa"/>
            <w:tcMar>
              <w:left w:w="57" w:type="dxa"/>
              <w:right w:w="57" w:type="dxa"/>
            </w:tcMar>
          </w:tcPr>
          <w:p w14:paraId="4F5B3EE3"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Festlegung des bestimmungsgemäßen Gebrauchs</w:t>
            </w:r>
          </w:p>
        </w:tc>
        <w:tc>
          <w:tcPr>
            <w:tcW w:w="1090" w:type="dxa"/>
            <w:tcMar>
              <w:left w:w="57" w:type="dxa"/>
              <w:right w:w="57" w:type="dxa"/>
            </w:tcMar>
          </w:tcPr>
          <w:p w14:paraId="7A885B76"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5C29A544"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44B61505"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28BFBD7D" w14:textId="77777777" w:rsidTr="00E82F5D">
        <w:trPr>
          <w:cantSplit/>
        </w:trPr>
        <w:tc>
          <w:tcPr>
            <w:tcW w:w="5687" w:type="dxa"/>
            <w:tcMar>
              <w:left w:w="57" w:type="dxa"/>
              <w:right w:w="57" w:type="dxa"/>
            </w:tcMar>
          </w:tcPr>
          <w:p w14:paraId="7CA64ED5"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Identifizierung der Gefährdungen</w:t>
            </w:r>
          </w:p>
        </w:tc>
        <w:tc>
          <w:tcPr>
            <w:tcW w:w="1090" w:type="dxa"/>
            <w:tcMar>
              <w:left w:w="57" w:type="dxa"/>
              <w:right w:w="57" w:type="dxa"/>
            </w:tcMar>
          </w:tcPr>
          <w:p w14:paraId="132B424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7D99A1A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09DAC4E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3F725520" w14:textId="77777777" w:rsidTr="00E82F5D">
        <w:trPr>
          <w:cantSplit/>
        </w:trPr>
        <w:tc>
          <w:tcPr>
            <w:tcW w:w="5687" w:type="dxa"/>
            <w:tcMar>
              <w:left w:w="57" w:type="dxa"/>
              <w:right w:w="57" w:type="dxa"/>
            </w:tcMar>
          </w:tcPr>
          <w:p w14:paraId="5ED51E67"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Risikoeinschätzung</w:t>
            </w:r>
          </w:p>
        </w:tc>
        <w:tc>
          <w:tcPr>
            <w:tcW w:w="1090" w:type="dxa"/>
            <w:tcMar>
              <w:left w:w="57" w:type="dxa"/>
              <w:right w:w="57" w:type="dxa"/>
            </w:tcMar>
          </w:tcPr>
          <w:p w14:paraId="30FC45E3"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5911E197"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1E084CAD"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2E0D43E1" w14:textId="77777777" w:rsidTr="00E82F5D">
        <w:trPr>
          <w:cantSplit/>
        </w:trPr>
        <w:tc>
          <w:tcPr>
            <w:tcW w:w="5687" w:type="dxa"/>
            <w:tcMar>
              <w:left w:w="57" w:type="dxa"/>
              <w:right w:w="57" w:type="dxa"/>
            </w:tcMar>
          </w:tcPr>
          <w:p w14:paraId="20388305" w14:textId="77777777" w:rsidR="00B83AD7" w:rsidRPr="00B83AD7" w:rsidRDefault="00B83AD7" w:rsidP="00B83AD7">
            <w:pPr>
              <w:numPr>
                <w:ilvl w:val="0"/>
                <w:numId w:val="2"/>
              </w:numPr>
              <w:tabs>
                <w:tab w:val="clear" w:pos="360"/>
              </w:tabs>
              <w:spacing w:beforeLines="20" w:before="48" w:afterLines="20" w:after="48" w:line="240" w:lineRule="auto"/>
              <w:ind w:left="357" w:hanging="357"/>
              <w:rPr>
                <w:rFonts w:ascii="Times New Roman" w:hAnsi="Times New Roman" w:cs="Times New Roman"/>
                <w:b/>
              </w:rPr>
            </w:pPr>
            <w:r w:rsidRPr="00B83AD7">
              <w:rPr>
                <w:rFonts w:ascii="Times New Roman" w:hAnsi="Times New Roman" w:cs="Times New Roman"/>
                <w:b/>
              </w:rPr>
              <w:t>Risikobewertung</w:t>
            </w:r>
          </w:p>
        </w:tc>
        <w:tc>
          <w:tcPr>
            <w:tcW w:w="1090" w:type="dxa"/>
            <w:tcMar>
              <w:left w:w="57" w:type="dxa"/>
              <w:right w:w="57" w:type="dxa"/>
            </w:tcMar>
          </w:tcPr>
          <w:p w14:paraId="33071ADA"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329DF457"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70B36A98"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2E0DBE48" w14:textId="77777777" w:rsidTr="00E82F5D">
        <w:trPr>
          <w:cantSplit/>
        </w:trPr>
        <w:tc>
          <w:tcPr>
            <w:tcW w:w="5687" w:type="dxa"/>
            <w:tcMar>
              <w:left w:w="57" w:type="dxa"/>
              <w:right w:w="57" w:type="dxa"/>
            </w:tcMar>
          </w:tcPr>
          <w:p w14:paraId="4DF1CF8D"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Entscheidung über die Vertretbarkeit von Risiken</w:t>
            </w:r>
          </w:p>
        </w:tc>
        <w:tc>
          <w:tcPr>
            <w:tcW w:w="1090" w:type="dxa"/>
            <w:tcMar>
              <w:left w:w="57" w:type="dxa"/>
              <w:right w:w="57" w:type="dxa"/>
            </w:tcMar>
          </w:tcPr>
          <w:p w14:paraId="50B432A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2C074599"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2E05C2C5"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77EBFE3A" w14:textId="77777777" w:rsidTr="00E82F5D">
        <w:trPr>
          <w:cantSplit/>
        </w:trPr>
        <w:tc>
          <w:tcPr>
            <w:tcW w:w="5687" w:type="dxa"/>
            <w:tcMar>
              <w:left w:w="57" w:type="dxa"/>
              <w:right w:w="57" w:type="dxa"/>
            </w:tcMar>
          </w:tcPr>
          <w:p w14:paraId="6049AB44" w14:textId="77777777" w:rsidR="00B83AD7" w:rsidRPr="00B83AD7" w:rsidRDefault="00B83AD7" w:rsidP="00B83AD7">
            <w:pPr>
              <w:numPr>
                <w:ilvl w:val="0"/>
                <w:numId w:val="2"/>
              </w:numPr>
              <w:tabs>
                <w:tab w:val="clear" w:pos="360"/>
              </w:tabs>
              <w:spacing w:beforeLines="20" w:before="48" w:afterLines="20" w:after="48" w:line="240" w:lineRule="auto"/>
              <w:ind w:left="357" w:hanging="357"/>
              <w:rPr>
                <w:rFonts w:ascii="Times New Roman" w:hAnsi="Times New Roman" w:cs="Times New Roman"/>
                <w:b/>
              </w:rPr>
            </w:pPr>
            <w:r w:rsidRPr="00B83AD7">
              <w:rPr>
                <w:rFonts w:ascii="Times New Roman" w:hAnsi="Times New Roman" w:cs="Times New Roman"/>
                <w:b/>
              </w:rPr>
              <w:t>Risikobeurteilung</w:t>
            </w:r>
          </w:p>
        </w:tc>
        <w:tc>
          <w:tcPr>
            <w:tcW w:w="1090" w:type="dxa"/>
            <w:tcMar>
              <w:left w:w="57" w:type="dxa"/>
              <w:right w:w="57" w:type="dxa"/>
            </w:tcMar>
          </w:tcPr>
          <w:p w14:paraId="053C4B1D"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751A513A"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0DAB1908"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2D39952D" w14:textId="77777777" w:rsidTr="00E82F5D">
        <w:trPr>
          <w:cantSplit/>
        </w:trPr>
        <w:tc>
          <w:tcPr>
            <w:tcW w:w="5687" w:type="dxa"/>
            <w:tcMar>
              <w:left w:w="57" w:type="dxa"/>
              <w:right w:w="57" w:type="dxa"/>
            </w:tcMar>
          </w:tcPr>
          <w:p w14:paraId="3384EB5C" w14:textId="77777777" w:rsidR="00B83AD7" w:rsidRPr="00B83AD7" w:rsidRDefault="00B83AD7" w:rsidP="00B83AD7">
            <w:pPr>
              <w:numPr>
                <w:ilvl w:val="0"/>
                <w:numId w:val="2"/>
              </w:numPr>
              <w:tabs>
                <w:tab w:val="clear" w:pos="360"/>
              </w:tabs>
              <w:spacing w:beforeLines="20" w:before="48" w:afterLines="20" w:after="48" w:line="240" w:lineRule="auto"/>
              <w:ind w:left="357" w:hanging="357"/>
              <w:rPr>
                <w:rFonts w:ascii="Times New Roman" w:hAnsi="Times New Roman" w:cs="Times New Roman"/>
                <w:b/>
              </w:rPr>
            </w:pPr>
            <w:r w:rsidRPr="00B83AD7">
              <w:rPr>
                <w:rFonts w:ascii="Times New Roman" w:hAnsi="Times New Roman" w:cs="Times New Roman"/>
                <w:b/>
              </w:rPr>
              <w:t>Risikokontrolle</w:t>
            </w:r>
          </w:p>
        </w:tc>
        <w:tc>
          <w:tcPr>
            <w:tcW w:w="1090" w:type="dxa"/>
            <w:tcMar>
              <w:left w:w="57" w:type="dxa"/>
              <w:right w:w="57" w:type="dxa"/>
            </w:tcMar>
          </w:tcPr>
          <w:p w14:paraId="0D45FEAB"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51479C38"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4340EFBA"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2DDAA244" w14:textId="77777777" w:rsidTr="00E82F5D">
        <w:trPr>
          <w:cantSplit/>
        </w:trPr>
        <w:tc>
          <w:tcPr>
            <w:tcW w:w="5687" w:type="dxa"/>
            <w:tcMar>
              <w:left w:w="57" w:type="dxa"/>
              <w:right w:w="57" w:type="dxa"/>
            </w:tcMar>
          </w:tcPr>
          <w:p w14:paraId="151CBAB0"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Analyse der Optionen</w:t>
            </w:r>
          </w:p>
        </w:tc>
        <w:tc>
          <w:tcPr>
            <w:tcW w:w="1090" w:type="dxa"/>
            <w:tcMar>
              <w:left w:w="57" w:type="dxa"/>
              <w:right w:w="57" w:type="dxa"/>
            </w:tcMar>
          </w:tcPr>
          <w:p w14:paraId="0A32B587"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566AA960"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54F09D98"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61553A9F" w14:textId="77777777" w:rsidTr="00E82F5D">
        <w:trPr>
          <w:cantSplit/>
        </w:trPr>
        <w:tc>
          <w:tcPr>
            <w:tcW w:w="5687" w:type="dxa"/>
            <w:tcMar>
              <w:left w:w="57" w:type="dxa"/>
              <w:right w:w="57" w:type="dxa"/>
            </w:tcMar>
          </w:tcPr>
          <w:p w14:paraId="378FE092"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Umsetzung</w:t>
            </w:r>
          </w:p>
        </w:tc>
        <w:tc>
          <w:tcPr>
            <w:tcW w:w="1090" w:type="dxa"/>
            <w:tcMar>
              <w:left w:w="57" w:type="dxa"/>
              <w:right w:w="57" w:type="dxa"/>
            </w:tcMar>
          </w:tcPr>
          <w:p w14:paraId="25A72106"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17AAB0CF"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0A4DAF9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7FCB1F59" w14:textId="77777777" w:rsidTr="00E82F5D">
        <w:trPr>
          <w:cantSplit/>
        </w:trPr>
        <w:tc>
          <w:tcPr>
            <w:tcW w:w="5687" w:type="dxa"/>
            <w:tcMar>
              <w:left w:w="57" w:type="dxa"/>
              <w:right w:w="57" w:type="dxa"/>
            </w:tcMar>
          </w:tcPr>
          <w:p w14:paraId="1DB6C3A6"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Einschätzung des Restrisikos</w:t>
            </w:r>
          </w:p>
        </w:tc>
        <w:tc>
          <w:tcPr>
            <w:tcW w:w="1090" w:type="dxa"/>
            <w:tcMar>
              <w:left w:w="57" w:type="dxa"/>
              <w:right w:w="57" w:type="dxa"/>
            </w:tcMar>
          </w:tcPr>
          <w:p w14:paraId="077C81A3"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4E8604E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06763490"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7B98749D" w14:textId="77777777" w:rsidTr="00E82F5D">
        <w:trPr>
          <w:cantSplit/>
        </w:trPr>
        <w:tc>
          <w:tcPr>
            <w:tcW w:w="5687" w:type="dxa"/>
            <w:tcMar>
              <w:left w:w="57" w:type="dxa"/>
              <w:right w:w="57" w:type="dxa"/>
            </w:tcMar>
          </w:tcPr>
          <w:p w14:paraId="2E7E8B86"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Vertretbarkeit des Gesamtrisikos</w:t>
            </w:r>
          </w:p>
        </w:tc>
        <w:tc>
          <w:tcPr>
            <w:tcW w:w="1090" w:type="dxa"/>
            <w:tcMar>
              <w:left w:w="57" w:type="dxa"/>
              <w:right w:w="57" w:type="dxa"/>
            </w:tcMar>
          </w:tcPr>
          <w:p w14:paraId="47BB66A0"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7B5CE4E2"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35C5AD5C"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64938A93" w14:textId="77777777" w:rsidTr="00E82F5D">
        <w:trPr>
          <w:cantSplit/>
        </w:trPr>
        <w:tc>
          <w:tcPr>
            <w:tcW w:w="5687" w:type="dxa"/>
            <w:tcMar>
              <w:left w:w="57" w:type="dxa"/>
              <w:right w:w="57" w:type="dxa"/>
            </w:tcMar>
          </w:tcPr>
          <w:p w14:paraId="22BEB534" w14:textId="77777777" w:rsidR="00B83AD7" w:rsidRPr="00B83AD7" w:rsidRDefault="00B83AD7" w:rsidP="00B83AD7">
            <w:pPr>
              <w:numPr>
                <w:ilvl w:val="0"/>
                <w:numId w:val="2"/>
              </w:numPr>
              <w:tabs>
                <w:tab w:val="clear" w:pos="360"/>
              </w:tabs>
              <w:spacing w:beforeLines="20" w:before="48" w:afterLines="20" w:after="48" w:line="240" w:lineRule="auto"/>
              <w:ind w:left="357" w:hanging="357"/>
              <w:rPr>
                <w:rFonts w:ascii="Times New Roman" w:hAnsi="Times New Roman" w:cs="Times New Roman"/>
                <w:b/>
              </w:rPr>
            </w:pPr>
            <w:r w:rsidRPr="00B83AD7">
              <w:rPr>
                <w:rFonts w:ascii="Times New Roman" w:hAnsi="Times New Roman" w:cs="Times New Roman"/>
                <w:b/>
              </w:rPr>
              <w:t>Informationen aus den der Aufbereitung nachgelagerten Phasen</w:t>
            </w:r>
          </w:p>
        </w:tc>
        <w:tc>
          <w:tcPr>
            <w:tcW w:w="1090" w:type="dxa"/>
            <w:tcMar>
              <w:left w:w="57" w:type="dxa"/>
              <w:right w:w="57" w:type="dxa"/>
            </w:tcMar>
          </w:tcPr>
          <w:p w14:paraId="093A63A3"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200D0C3B"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2F9AE6C3"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5A74727A" w14:textId="77777777" w:rsidTr="00E82F5D">
        <w:trPr>
          <w:cantSplit/>
        </w:trPr>
        <w:tc>
          <w:tcPr>
            <w:tcW w:w="5687" w:type="dxa"/>
            <w:tcMar>
              <w:left w:w="57" w:type="dxa"/>
              <w:right w:w="57" w:type="dxa"/>
            </w:tcMar>
          </w:tcPr>
          <w:p w14:paraId="0B380B0A"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Erfahrungen aus der Kenntnis und Literatur</w:t>
            </w:r>
          </w:p>
        </w:tc>
        <w:tc>
          <w:tcPr>
            <w:tcW w:w="1090" w:type="dxa"/>
            <w:tcMar>
              <w:left w:w="57" w:type="dxa"/>
              <w:right w:w="57" w:type="dxa"/>
            </w:tcMar>
          </w:tcPr>
          <w:p w14:paraId="000C25C0"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6D10E32E"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3BE850E7"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r w:rsidR="00B83AD7" w:rsidRPr="00B83AD7" w14:paraId="6559E240" w14:textId="77777777" w:rsidTr="00E82F5D">
        <w:trPr>
          <w:cantSplit/>
        </w:trPr>
        <w:tc>
          <w:tcPr>
            <w:tcW w:w="5687" w:type="dxa"/>
            <w:tcMar>
              <w:left w:w="57" w:type="dxa"/>
              <w:right w:w="57" w:type="dxa"/>
            </w:tcMar>
          </w:tcPr>
          <w:p w14:paraId="405893E1" w14:textId="77777777" w:rsidR="00B83AD7" w:rsidRPr="00B83AD7" w:rsidRDefault="00B83AD7" w:rsidP="00B83AD7">
            <w:pPr>
              <w:spacing w:beforeLines="20" w:before="48" w:afterLines="20" w:after="48" w:line="240" w:lineRule="auto"/>
              <w:ind w:left="357"/>
              <w:rPr>
                <w:rFonts w:ascii="Times New Roman" w:hAnsi="Times New Roman" w:cs="Times New Roman"/>
              </w:rPr>
            </w:pPr>
            <w:r w:rsidRPr="00B83AD7">
              <w:rPr>
                <w:rFonts w:ascii="Times New Roman" w:hAnsi="Times New Roman" w:cs="Times New Roman"/>
              </w:rPr>
              <w:t>Bewertung der Erfahrung des Risiko-Managements</w:t>
            </w:r>
          </w:p>
        </w:tc>
        <w:tc>
          <w:tcPr>
            <w:tcW w:w="1090" w:type="dxa"/>
            <w:tcMar>
              <w:left w:w="57" w:type="dxa"/>
              <w:right w:w="57" w:type="dxa"/>
            </w:tcMar>
          </w:tcPr>
          <w:p w14:paraId="212DE53F"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058" w:type="dxa"/>
            <w:gridSpan w:val="2"/>
            <w:tcMar>
              <w:left w:w="57" w:type="dxa"/>
              <w:right w:w="57" w:type="dxa"/>
            </w:tcMar>
          </w:tcPr>
          <w:p w14:paraId="78C078CD"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c>
          <w:tcPr>
            <w:tcW w:w="1208" w:type="dxa"/>
            <w:tcMar>
              <w:left w:w="57" w:type="dxa"/>
              <w:right w:w="57" w:type="dxa"/>
            </w:tcMar>
          </w:tcPr>
          <w:p w14:paraId="0AE7454A" w14:textId="77777777" w:rsidR="00B83AD7" w:rsidRPr="00B83AD7" w:rsidRDefault="00B83AD7" w:rsidP="00B83AD7">
            <w:pPr>
              <w:spacing w:beforeLines="20" w:before="48" w:afterLines="20" w:after="48" w:line="240" w:lineRule="auto"/>
              <w:jc w:val="center"/>
              <w:rPr>
                <w:rFonts w:ascii="Times New Roman" w:hAnsi="Times New Roman" w:cs="Times New Roman"/>
              </w:rPr>
            </w:pPr>
          </w:p>
        </w:tc>
      </w:tr>
    </w:tbl>
    <w:p w14:paraId="44499E32" w14:textId="77777777" w:rsidR="00B83AD7" w:rsidRPr="00B83AD7" w:rsidRDefault="00B83AD7" w:rsidP="00B83AD7">
      <w:pPr>
        <w:suppressAutoHyphens/>
        <w:spacing w:after="0" w:line="240" w:lineRule="auto"/>
        <w:rPr>
          <w:rFonts w:ascii="Times New Roman" w:hAnsi="Times New Roman" w:cs="Times New Roman"/>
          <w:lang w:eastAsia="ar-SA"/>
        </w:rPr>
      </w:pPr>
    </w:p>
    <w:p w14:paraId="5746C20C" w14:textId="77777777" w:rsidR="00B83AD7" w:rsidRPr="00B83AD7" w:rsidRDefault="00B83AD7" w:rsidP="00B83AD7">
      <w:pPr>
        <w:pStyle w:val="UnterberschriftSAA"/>
        <w:spacing w:before="0" w:after="0"/>
        <w:rPr>
          <w:szCs w:val="22"/>
          <w:lang w:eastAsia="ar-SA"/>
        </w:rPr>
      </w:pPr>
      <w:r w:rsidRPr="00B83AD7">
        <w:rPr>
          <w:szCs w:val="22"/>
          <w:lang w:eastAsia="ar-SA"/>
        </w:rPr>
        <w:t>Grundsätzliches</w:t>
      </w:r>
    </w:p>
    <w:p w14:paraId="508F370D" w14:textId="77777777" w:rsidR="00B83AD7" w:rsidRPr="00B83AD7" w:rsidRDefault="00B83AD7" w:rsidP="00B83AD7">
      <w:pPr>
        <w:pStyle w:val="InhaltVA"/>
        <w:rPr>
          <w:szCs w:val="22"/>
          <w:lang w:eastAsia="ar-SA"/>
        </w:rPr>
      </w:pPr>
      <w:r w:rsidRPr="00B83AD7">
        <w:rPr>
          <w:szCs w:val="22"/>
          <w:lang w:eastAsia="ar-SA"/>
        </w:rPr>
        <w:t>Die Aufbereitung von MP erfordert ein Qualitätsmanagement. Die „</w:t>
      </w:r>
      <w:r w:rsidRPr="00B83AD7">
        <w:rPr>
          <w:i/>
          <w:szCs w:val="22"/>
        </w:rPr>
        <w:t>Anforderungen an die Hygiene bei der Aufbereitung von Medizinprodukten“ (KRINKO-RKI-BfArM-Empfehlung)</w:t>
      </w:r>
      <w:r w:rsidRPr="00B83AD7">
        <w:rPr>
          <w:szCs w:val="22"/>
          <w:lang w:eastAsia="ar-SA"/>
        </w:rPr>
        <w:t xml:space="preserve"> benennt für die Aufbereitung von MP mit besonders hohen Anforderungen an die Aufbereitung eine externe Zertifizierung des Qualitätsmanagementsystems zur Gewährleistung der Erfüllung dieser Anforderungen. Die Zertifizierung des Qualitätsmanagementsystems hat auf der Basis der Anforderungen der </w:t>
      </w:r>
      <w:r w:rsidRPr="00B83AD7">
        <w:rPr>
          <w:i/>
          <w:szCs w:val="22"/>
        </w:rPr>
        <w:t>DIN EN ISO 13485</w:t>
      </w:r>
      <w:r w:rsidRPr="00B83AD7">
        <w:rPr>
          <w:szCs w:val="22"/>
          <w:lang w:eastAsia="ar-SA"/>
        </w:rPr>
        <w:t xml:space="preserve"> zu erfolgen. In dieser Norm wird unter dem Kapitel 7.1 „Planung der Produktrealisierung“ gefordert, dass dokumentierte Anforderungen für das Risikomanagement während der gesamten Produktrealisierung zu erarbeiten sind. Es müssen Aufzeichnungen geführt werden, die sich aus dem Risikomanagement ergeben. An dieser Stelle wird explizit auf die </w:t>
      </w:r>
      <w:r w:rsidRPr="00B83AD7">
        <w:rPr>
          <w:i/>
          <w:szCs w:val="22"/>
        </w:rPr>
        <w:t>DIN EN ISO 14971</w:t>
      </w:r>
      <w:r w:rsidRPr="00B83AD7">
        <w:rPr>
          <w:szCs w:val="22"/>
          <w:lang w:eastAsia="ar-SA"/>
        </w:rPr>
        <w:t xml:space="preserve"> verwiesen, welche eine Anleitung für die Anwendung des Risikomanagements auf MP darstellt.</w:t>
      </w:r>
    </w:p>
    <w:p w14:paraId="213FCEC2" w14:textId="77777777" w:rsidR="00B83AD7" w:rsidRPr="00B83AD7" w:rsidRDefault="00B83AD7" w:rsidP="00B83AD7">
      <w:pPr>
        <w:pStyle w:val="InhaltVA"/>
        <w:rPr>
          <w:szCs w:val="22"/>
          <w:lang w:eastAsia="ar-SA"/>
        </w:rPr>
      </w:pPr>
    </w:p>
    <w:p w14:paraId="27EBA492" w14:textId="77777777" w:rsidR="00B83AD7" w:rsidRPr="00B83AD7" w:rsidRDefault="00B83AD7" w:rsidP="00B83AD7">
      <w:pPr>
        <w:pStyle w:val="InhaltVA"/>
        <w:rPr>
          <w:szCs w:val="22"/>
          <w:lang w:eastAsia="ar-SA"/>
        </w:rPr>
      </w:pPr>
      <w:r w:rsidRPr="00B83AD7">
        <w:rPr>
          <w:szCs w:val="22"/>
          <w:lang w:eastAsia="ar-SA"/>
        </w:rPr>
        <w:t xml:space="preserve">Die folgende Prozessbeschreibung berücksichtigt neben den Anforderungen der </w:t>
      </w:r>
      <w:r w:rsidRPr="00B83AD7">
        <w:rPr>
          <w:i/>
          <w:szCs w:val="22"/>
        </w:rPr>
        <w:t>DIN EN ISO 14971</w:t>
      </w:r>
      <w:r w:rsidRPr="00B83AD7">
        <w:rPr>
          <w:szCs w:val="22"/>
          <w:lang w:eastAsia="ar-SA"/>
        </w:rPr>
        <w:t xml:space="preserve"> auch die Anforderungen an die Hygiene bei der Aufbereitung von MP gemäß </w:t>
      </w:r>
      <w:r w:rsidRPr="00B83AD7">
        <w:rPr>
          <w:i/>
          <w:szCs w:val="22"/>
        </w:rPr>
        <w:t>KRINKO-RKI-BfArM-Empfehlung</w:t>
      </w:r>
      <w:r w:rsidRPr="00B83AD7">
        <w:rPr>
          <w:szCs w:val="22"/>
          <w:lang w:eastAsia="ar-SA"/>
        </w:rPr>
        <w:t>. Die Regelungen zur Einstufung von MP vor der ersten Aufbereitung werden ebenso beschrieben.</w:t>
      </w:r>
    </w:p>
    <w:p w14:paraId="026791C0" w14:textId="102669F8" w:rsidR="00B83AD7" w:rsidRDefault="00B83AD7">
      <w:pPr>
        <w:rPr>
          <w:rFonts w:ascii="Times New Roman" w:hAnsi="Times New Roman" w:cs="Times New Roman"/>
        </w:rPr>
      </w:pPr>
      <w:r>
        <w:rPr>
          <w:rFonts w:ascii="Times New Roman" w:hAnsi="Times New Roman" w:cs="Times New Roman"/>
        </w:rPr>
        <w:br w:type="page"/>
      </w:r>
    </w:p>
    <w:p w14:paraId="199C6EC2" w14:textId="77777777" w:rsidR="00B83AD7" w:rsidRPr="003D5439" w:rsidRDefault="00B83AD7" w:rsidP="00B83AD7">
      <w:pPr>
        <w:pStyle w:val="ArbeitsgangZahlen"/>
        <w:rPr>
          <w:lang w:eastAsia="ar-SA"/>
        </w:rPr>
      </w:pPr>
      <w:r w:rsidRPr="003D5439">
        <w:rPr>
          <w:lang w:eastAsia="ar-SA"/>
        </w:rPr>
        <w:t>Qualifikation des Personals</w:t>
      </w:r>
    </w:p>
    <w:p w14:paraId="2151BAFC" w14:textId="77777777" w:rsidR="00B83AD7" w:rsidRPr="00BB485D" w:rsidRDefault="00B83AD7" w:rsidP="00B83AD7">
      <w:pPr>
        <w:pStyle w:val="FormatvorlageAufgezhlt2"/>
        <w:tabs>
          <w:tab w:val="clear" w:pos="1134"/>
          <w:tab w:val="num" w:pos="851"/>
        </w:tabs>
        <w:ind w:left="851" w:hanging="425"/>
        <w:rPr>
          <w:lang w:eastAsia="ar-SA"/>
        </w:rPr>
      </w:pPr>
      <w:r w:rsidRPr="003D5439">
        <w:rPr>
          <w:lang w:eastAsia="ar-SA"/>
        </w:rPr>
        <w:t xml:space="preserve">Die Personen, die mit Risikomanagementaufgaben beauftragt werden, müssen </w:t>
      </w:r>
      <w:r>
        <w:rPr>
          <w:lang w:eastAsia="ar-SA"/>
        </w:rPr>
        <w:t xml:space="preserve">über </w:t>
      </w:r>
      <w:r w:rsidRPr="003D5439">
        <w:rPr>
          <w:lang w:eastAsia="ar-SA"/>
        </w:rPr>
        <w:t xml:space="preserve">das Wissen und die Erfahrung über das jeweilige </w:t>
      </w:r>
      <w:r>
        <w:rPr>
          <w:lang w:eastAsia="ar-SA"/>
        </w:rPr>
        <w:t>MP</w:t>
      </w:r>
      <w:r w:rsidRPr="003D5439">
        <w:rPr>
          <w:lang w:eastAsia="ar-SA"/>
        </w:rPr>
        <w:t xml:space="preserve"> und seine Anwendung verfügen. </w:t>
      </w:r>
    </w:p>
    <w:p w14:paraId="577F09FF" w14:textId="77777777" w:rsidR="00B83AD7" w:rsidRPr="00BB485D" w:rsidRDefault="00B83AD7" w:rsidP="00B83AD7">
      <w:pPr>
        <w:pStyle w:val="FormatvorlageAufgezhlt2"/>
        <w:tabs>
          <w:tab w:val="clear" w:pos="1134"/>
          <w:tab w:val="num" w:pos="851"/>
        </w:tabs>
        <w:ind w:left="851" w:hanging="425"/>
        <w:rPr>
          <w:lang w:eastAsia="ar-SA"/>
        </w:rPr>
      </w:pPr>
      <w:r w:rsidRPr="003D5439">
        <w:rPr>
          <w:lang w:eastAsia="ar-SA"/>
        </w:rPr>
        <w:t xml:space="preserve">Zusätzlich müssen die Mitarbeiter über die Techniken des Risikomanagements sowie über das in dieser Verfahrensanweisung beschriebene Verfahren Kenntnis haben. </w:t>
      </w:r>
    </w:p>
    <w:p w14:paraId="3FAF5B2C" w14:textId="77777777" w:rsidR="00B83AD7" w:rsidRPr="00BB485D" w:rsidRDefault="00B83AD7" w:rsidP="00B83AD7">
      <w:pPr>
        <w:pStyle w:val="FormatvorlageAufgezhlt2"/>
        <w:tabs>
          <w:tab w:val="clear" w:pos="1134"/>
          <w:tab w:val="num" w:pos="851"/>
        </w:tabs>
        <w:ind w:left="851" w:hanging="425"/>
        <w:rPr>
          <w:lang w:eastAsia="ar-SA"/>
        </w:rPr>
      </w:pPr>
      <w:r w:rsidRPr="003D5439">
        <w:rPr>
          <w:lang w:eastAsia="ar-SA"/>
        </w:rPr>
        <w:t>Die Qualifikation ist durch entsprechende Aufzeichnungen nachzuweisen.</w:t>
      </w:r>
    </w:p>
    <w:p w14:paraId="4549712A" w14:textId="77777777" w:rsidR="00B83AD7" w:rsidRPr="003D5439" w:rsidRDefault="00B83AD7" w:rsidP="00B83AD7">
      <w:pPr>
        <w:pStyle w:val="ArbeitsgangZahlen"/>
        <w:rPr>
          <w:lang w:eastAsia="ar-SA"/>
        </w:rPr>
      </w:pPr>
      <w:r w:rsidRPr="003D5439">
        <w:rPr>
          <w:lang w:eastAsia="ar-SA"/>
        </w:rPr>
        <w:t>Verantwortung der Leitung</w:t>
      </w:r>
    </w:p>
    <w:p w14:paraId="2D872B5B" w14:textId="77777777" w:rsidR="00B83AD7" w:rsidRDefault="00B83AD7" w:rsidP="00B83AD7">
      <w:pPr>
        <w:pStyle w:val="FormatvorlageAufgezhlt2"/>
        <w:tabs>
          <w:tab w:val="clear" w:pos="1134"/>
          <w:tab w:val="num" w:pos="851"/>
        </w:tabs>
        <w:ind w:left="851" w:hanging="425"/>
        <w:rPr>
          <w:lang w:eastAsia="ar-SA"/>
        </w:rPr>
      </w:pPr>
      <w:r w:rsidRPr="003D5439">
        <w:rPr>
          <w:lang w:eastAsia="ar-SA"/>
        </w:rPr>
        <w:t xml:space="preserve">Zusätzlich zu den in dem nachfolgenden Verfahren festgelegten Abläufen muss die Leitung folgendes sicherstellen und in </w:t>
      </w:r>
      <w:r>
        <w:rPr>
          <w:lang w:eastAsia="ar-SA"/>
        </w:rPr>
        <w:t>den Aufzeichnungen zum Risikomanagement</w:t>
      </w:r>
      <w:r w:rsidRPr="003D5439">
        <w:rPr>
          <w:lang w:eastAsia="ar-SA"/>
        </w:rPr>
        <w:t xml:space="preserve"> dokumentieren:</w:t>
      </w:r>
    </w:p>
    <w:p w14:paraId="35970665" w14:textId="77777777" w:rsidR="00B83AD7" w:rsidRPr="003D5439" w:rsidRDefault="00B83AD7" w:rsidP="00B83AD7">
      <w:pPr>
        <w:pStyle w:val="FormatvorlageAufgezhlt2"/>
        <w:numPr>
          <w:ilvl w:val="2"/>
          <w:numId w:val="3"/>
        </w:numPr>
        <w:tabs>
          <w:tab w:val="clear" w:pos="2160"/>
          <w:tab w:val="num" w:pos="1560"/>
        </w:tabs>
        <w:ind w:left="1276" w:hanging="425"/>
        <w:rPr>
          <w:lang w:eastAsia="ar-SA"/>
        </w:rPr>
      </w:pPr>
      <w:r w:rsidRPr="003D5439">
        <w:rPr>
          <w:lang w:eastAsia="ar-SA"/>
        </w:rPr>
        <w:t>Bestimmung der Grundsätze der Leitung zur Festlegung vertretbarer Risiken unter Berücksichtigung einschlägiger Normen und gesetzliche</w:t>
      </w:r>
      <w:r>
        <w:rPr>
          <w:lang w:eastAsia="ar-SA"/>
        </w:rPr>
        <w:t>r sowie regionaler Vorschriften</w:t>
      </w:r>
    </w:p>
    <w:p w14:paraId="7DDD1D57" w14:textId="77777777" w:rsidR="00B83AD7" w:rsidRPr="003D5439" w:rsidRDefault="00B83AD7" w:rsidP="00B83AD7">
      <w:pPr>
        <w:pStyle w:val="FormatvorlageAufgezhlt2"/>
        <w:numPr>
          <w:ilvl w:val="2"/>
          <w:numId w:val="3"/>
        </w:numPr>
        <w:tabs>
          <w:tab w:val="clear" w:pos="2160"/>
          <w:tab w:val="num" w:pos="1560"/>
        </w:tabs>
        <w:ind w:left="1276" w:hanging="425"/>
        <w:rPr>
          <w:lang w:eastAsia="ar-SA"/>
        </w:rPr>
      </w:pPr>
      <w:r w:rsidRPr="003D5439">
        <w:rPr>
          <w:lang w:eastAsia="ar-SA"/>
        </w:rPr>
        <w:t xml:space="preserve">Sicherstellung der </w:t>
      </w:r>
      <w:r>
        <w:rPr>
          <w:lang w:eastAsia="ar-SA"/>
        </w:rPr>
        <w:t>Verfügbarkeit geeigneter Mittel</w:t>
      </w:r>
    </w:p>
    <w:p w14:paraId="26BB8BD7" w14:textId="77777777" w:rsidR="00B83AD7" w:rsidRPr="003D5439" w:rsidRDefault="00B83AD7" w:rsidP="00B83AD7">
      <w:pPr>
        <w:pStyle w:val="FormatvorlageAufgezhlt2"/>
        <w:numPr>
          <w:ilvl w:val="2"/>
          <w:numId w:val="3"/>
        </w:numPr>
        <w:tabs>
          <w:tab w:val="clear" w:pos="2160"/>
          <w:tab w:val="num" w:pos="1560"/>
        </w:tabs>
        <w:ind w:left="1276" w:hanging="425"/>
        <w:rPr>
          <w:lang w:eastAsia="ar-SA"/>
        </w:rPr>
      </w:pPr>
      <w:r w:rsidRPr="003D5439">
        <w:rPr>
          <w:lang w:eastAsia="ar-SA"/>
        </w:rPr>
        <w:t>Sicherstellen, dass ausgebildetes Personal für Management, Durchführung von Arbeiten und von Bewer</w:t>
      </w:r>
      <w:r>
        <w:rPr>
          <w:lang w:eastAsia="ar-SA"/>
        </w:rPr>
        <w:t>tungsaktivitäten bestellt wurde</w:t>
      </w:r>
    </w:p>
    <w:p w14:paraId="03F08D0D" w14:textId="77777777" w:rsidR="00B83AD7" w:rsidRPr="00311BD9" w:rsidRDefault="00B83AD7" w:rsidP="00B83AD7">
      <w:pPr>
        <w:pStyle w:val="FormatvorlageAufgezhlt2"/>
        <w:numPr>
          <w:ilvl w:val="2"/>
          <w:numId w:val="3"/>
        </w:numPr>
        <w:tabs>
          <w:tab w:val="clear" w:pos="2160"/>
          <w:tab w:val="num" w:pos="1560"/>
        </w:tabs>
        <w:ind w:left="1276" w:hanging="425"/>
        <w:rPr>
          <w:lang w:eastAsia="ar-SA"/>
        </w:rPr>
      </w:pPr>
      <w:r w:rsidRPr="003D5439">
        <w:rPr>
          <w:lang w:eastAsia="ar-SA"/>
        </w:rPr>
        <w:t>Überprüfung der Ergebnisse der Risikomanagement-Aktivitäten in festgelegten Abständen, um die fortlaufende Eignung und Wirksamkeit des Risikomanagementprozesses sicherzustell</w:t>
      </w:r>
      <w:r>
        <w:rPr>
          <w:lang w:eastAsia="ar-SA"/>
        </w:rPr>
        <w:t>en</w:t>
      </w:r>
    </w:p>
    <w:p w14:paraId="3E5FEC50" w14:textId="77777777" w:rsidR="00B83AD7" w:rsidRPr="00B83AD7" w:rsidRDefault="00B83AD7" w:rsidP="00B83AD7">
      <w:pPr>
        <w:pStyle w:val="ArbeitsgangUnterpunkte"/>
        <w:rPr>
          <w:bCs/>
          <w:szCs w:val="22"/>
          <w:lang w:eastAsia="ar-SA"/>
        </w:rPr>
      </w:pPr>
    </w:p>
    <w:p w14:paraId="00F98292" w14:textId="77777777" w:rsidR="00B83AD7" w:rsidRDefault="00B83AD7" w:rsidP="00B83AD7">
      <w:pPr>
        <w:pStyle w:val="UnterberschriftSAA"/>
        <w:rPr>
          <w:rStyle w:val="berschriftVA"/>
          <w:b w:val="0"/>
          <w:bCs w:val="0"/>
        </w:rPr>
      </w:pPr>
      <w:r w:rsidRPr="00A17629">
        <w:rPr>
          <w:rStyle w:val="berschriftVA"/>
        </w:rPr>
        <w:t>Prozessbeschreibung de</w:t>
      </w:r>
      <w:r>
        <w:rPr>
          <w:rStyle w:val="berschriftVA"/>
        </w:rPr>
        <w:t>r Aspekte des Risikomanagements</w:t>
      </w:r>
    </w:p>
    <w:p w14:paraId="7F12D5C8" w14:textId="44B24481" w:rsidR="00B83AD7" w:rsidRPr="00FA73DA" w:rsidRDefault="00B83AD7" w:rsidP="00B83AD7">
      <w:pPr>
        <w:pStyle w:val="Nummer"/>
        <w:numPr>
          <w:ilvl w:val="0"/>
          <w:numId w:val="4"/>
        </w:numPr>
      </w:pPr>
      <w:r w:rsidRPr="00FA73DA">
        <w:t>Prozessvalidierung i</w:t>
      </w:r>
      <w:r>
        <w:t>n der AEMP EL</w:t>
      </w:r>
    </w:p>
    <w:p w14:paraId="10A04316" w14:textId="068DD10C" w:rsidR="00B83AD7" w:rsidRPr="00CC5D2A" w:rsidRDefault="00B83AD7" w:rsidP="00B83AD7">
      <w:pPr>
        <w:pStyle w:val="FormatvorlageAufgezhlt2"/>
        <w:tabs>
          <w:tab w:val="clear" w:pos="1134"/>
          <w:tab w:val="num" w:pos="851"/>
        </w:tabs>
        <w:ind w:left="851" w:hanging="425"/>
        <w:rPr>
          <w:lang w:eastAsia="ar-SA"/>
        </w:rPr>
      </w:pPr>
      <w:r>
        <w:rPr>
          <w:lang w:eastAsia="ar-SA"/>
        </w:rPr>
        <w:t>Im Rahmen der Vorbereitungen zur Prozessvalidierung wurden sämtliche MP, die in der AEMP zur Aufbereitung eintreffen können, von einem interdisziplinären Validierungsteam gesichtet. Das Validierungsteam setzte sich aus diesen Personen zusammen:</w:t>
      </w:r>
    </w:p>
    <w:p w14:paraId="6F3A5185"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Leitung AEMP</w:t>
      </w:r>
    </w:p>
    <w:p w14:paraId="2B5653CD"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Medizintechniker FG Sterilisation</w:t>
      </w:r>
    </w:p>
    <w:p w14:paraId="29D9BC4F"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 xml:space="preserve">Vertreter des Herstellers/ Lieferanten </w:t>
      </w:r>
    </w:p>
    <w:p w14:paraId="2119FE90"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Externer Sachkundiger für Validierungen</w:t>
      </w:r>
    </w:p>
    <w:p w14:paraId="7D47A84F"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Externer Sachkundiger für die Aufbereitung von MP</w:t>
      </w:r>
    </w:p>
    <w:p w14:paraId="4110E246"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Externer Sachkundiger für Qualitätsmanagement</w:t>
      </w:r>
    </w:p>
    <w:p w14:paraId="3FC56FC5"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Externe Fachärztin für Krankenhaushygiene</w:t>
      </w:r>
    </w:p>
    <w:p w14:paraId="145DB854" w14:textId="5F255263"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Vertreter der Obersten Leitung</w:t>
      </w:r>
    </w:p>
    <w:p w14:paraId="6A75273C" w14:textId="77777777" w:rsidR="00B83AD7" w:rsidRPr="00CC5D2A" w:rsidRDefault="00B83AD7" w:rsidP="00B83AD7">
      <w:pPr>
        <w:pStyle w:val="FormatvorlageAufgezhlt2"/>
        <w:tabs>
          <w:tab w:val="clear" w:pos="1134"/>
          <w:tab w:val="num" w:pos="851"/>
        </w:tabs>
        <w:ind w:left="851" w:hanging="425"/>
        <w:rPr>
          <w:lang w:eastAsia="ar-SA"/>
        </w:rPr>
      </w:pPr>
      <w:r>
        <w:rPr>
          <w:lang w:eastAsia="ar-SA"/>
        </w:rPr>
        <w:t>Die MP wurden wie folgt beurteilt:</w:t>
      </w:r>
    </w:p>
    <w:p w14:paraId="2B6F15E5"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Inaugenscheinnahme der Siebe und Sets</w:t>
      </w:r>
    </w:p>
    <w:p w14:paraId="5FA7B7A6"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Bewertung der Anforderungen an die Aufbereitung unter Beachtung der Angaben der Hersteller</w:t>
      </w:r>
    </w:p>
    <w:p w14:paraId="403D43C1"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Bewertung der Anforderungen an die Aufbereitung basierend auf den vorhergehenden und nachfolgenden Einsatz</w:t>
      </w:r>
    </w:p>
    <w:p w14:paraId="095D24E6"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Bewertung der Anforderungen gegeben durch die zur Verfügung stehende technische Ausstattung des Funktionsbereichs Sterilisation</w:t>
      </w:r>
    </w:p>
    <w:p w14:paraId="555D409A"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Bewertung der Kompatibilität der MP mit den zur Verfügung stehenden Aufbereitungsverfahren</w:t>
      </w:r>
    </w:p>
    <w:p w14:paraId="758444DC" w14:textId="77777777" w:rsidR="00B83AD7" w:rsidRDefault="00B83AD7" w:rsidP="00B83AD7">
      <w:pPr>
        <w:pStyle w:val="FormatvorlageAufgezhlt2"/>
        <w:numPr>
          <w:ilvl w:val="2"/>
          <w:numId w:val="3"/>
        </w:numPr>
        <w:tabs>
          <w:tab w:val="clear" w:pos="2160"/>
          <w:tab w:val="num" w:pos="1560"/>
        </w:tabs>
        <w:ind w:left="1276" w:hanging="425"/>
        <w:rPr>
          <w:lang w:eastAsia="ar-SA"/>
        </w:rPr>
      </w:pPr>
      <w:r>
        <w:rPr>
          <w:lang w:eastAsia="ar-SA"/>
        </w:rPr>
        <w:t>Bewertung der Notwendigkeit von Schulungen des mit der Aufbereitung beauftragten Personals im Funktionsbereich Sterilisation</w:t>
      </w:r>
    </w:p>
    <w:p w14:paraId="2CBC0A24" w14:textId="05FAE2DB" w:rsidR="00B83AD7" w:rsidRDefault="00B83AD7">
      <w:pPr>
        <w:rPr>
          <w:rFonts w:ascii="Times New Roman" w:hAnsi="Times New Roman" w:cs="Times New Roman"/>
        </w:rPr>
      </w:pPr>
      <w:r>
        <w:rPr>
          <w:rFonts w:ascii="Times New Roman" w:hAnsi="Times New Roman" w:cs="Times New Roman"/>
        </w:rPr>
        <w:br w:type="page"/>
      </w:r>
    </w:p>
    <w:p w14:paraId="061A13F3" w14:textId="77777777" w:rsidR="00B83AD7" w:rsidRPr="00B83AD7" w:rsidRDefault="00B83AD7" w:rsidP="00B83AD7">
      <w:pPr>
        <w:pStyle w:val="Nummer"/>
        <w:numPr>
          <w:ilvl w:val="0"/>
          <w:numId w:val="4"/>
        </w:numPr>
      </w:pPr>
      <w:r w:rsidRPr="00B83AD7">
        <w:t>Festlegung von Referenzbeladungen für die Prozessvalidierung</w:t>
      </w:r>
    </w:p>
    <w:p w14:paraId="317BF997"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Mittels Fotodokumentation und durch die Erstellung einer Liste wurden alle Produkte benannt, die im Rahmen der durchzuführenden Validierungen beachtet werden müssen, weil sie die höchsten Anforderungen an die Aufbereitung aufgrund ihrer Konstruktion und/ oder der möglichen Nutzungsbelastung stellen.</w:t>
      </w:r>
    </w:p>
    <w:p w14:paraId="7C22E50D"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Zur besseren Standardisierung der Aufbereitung, insbesondere vor dem Hintergrund der möglichen wechselnden Einsatzorte und Bedingungen für die Geräte des Funktionsbereichs Sterilisation wurden sämtliche MP für die Aufbereitungsprozesse in die Gruppe „Kritisch B“ eingestuft.</w:t>
      </w:r>
    </w:p>
    <w:p w14:paraId="61BA23B3" w14:textId="77777777" w:rsidR="00B83AD7" w:rsidRPr="00B83AD7" w:rsidRDefault="00B83AD7" w:rsidP="00B83AD7">
      <w:pPr>
        <w:pStyle w:val="Nummer"/>
        <w:numPr>
          <w:ilvl w:val="0"/>
          <w:numId w:val="4"/>
        </w:numPr>
        <w:rPr>
          <w:lang w:eastAsia="ar-SA"/>
        </w:rPr>
      </w:pPr>
      <w:r w:rsidRPr="00B83AD7">
        <w:rPr>
          <w:lang w:eastAsia="ar-SA"/>
        </w:rPr>
        <w:t>Durchführung der Prozessvalidierung</w:t>
      </w:r>
    </w:p>
    <w:p w14:paraId="3CF86D28"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Die Durchführungen der Prozessvalidierungen sind als jeweilige MU unter „GRU_VAL„ dokumentiert. Die Prozessvalidierungsberichte befinden sich beim jeweiligen Gerät.</w:t>
      </w:r>
    </w:p>
    <w:p w14:paraId="21807D49" w14:textId="77777777" w:rsidR="00B83AD7" w:rsidRPr="00B83AD7" w:rsidRDefault="00B83AD7" w:rsidP="00B83AD7">
      <w:pPr>
        <w:suppressAutoHyphens/>
        <w:spacing w:after="0" w:line="240" w:lineRule="auto"/>
        <w:rPr>
          <w:rFonts w:ascii="Times New Roman" w:hAnsi="Times New Roman" w:cs="Times New Roman"/>
          <w:lang w:eastAsia="ar-SA"/>
        </w:rPr>
      </w:pPr>
    </w:p>
    <w:p w14:paraId="5953269F" w14:textId="77777777" w:rsidR="00B83AD7" w:rsidRPr="00B83AD7" w:rsidRDefault="00B83AD7" w:rsidP="00B83AD7">
      <w:pPr>
        <w:suppressAutoHyphens/>
        <w:spacing w:after="0" w:line="240" w:lineRule="auto"/>
        <w:rPr>
          <w:rFonts w:ascii="Times New Roman" w:hAnsi="Times New Roman" w:cs="Times New Roman"/>
          <w:lang w:eastAsia="ar-SA"/>
        </w:rPr>
      </w:pPr>
      <w:r w:rsidRPr="00B83AD7">
        <w:rPr>
          <w:rFonts w:ascii="Times New Roman" w:hAnsi="Times New Roman" w:cs="Times New Roman"/>
          <w:lang w:eastAsia="ar-SA"/>
        </w:rPr>
        <w:t>Durch diese Vorgehensweisen wurde ein definierter und standardisierter Istzustand geschaffen. Der Prozess für die Risikobewertung neuer MP, die aufbereitet werden sollen, ist im folgenden Flussdiagramm beschrieben und vom zuständigen Personal der Bundeswehr unbedingt einzuhalten.</w:t>
      </w:r>
    </w:p>
    <w:p w14:paraId="65FD7814" w14:textId="77777777" w:rsidR="00B83AD7" w:rsidRPr="00B83AD7" w:rsidRDefault="00B83AD7" w:rsidP="00B83AD7">
      <w:pPr>
        <w:suppressAutoHyphens/>
        <w:spacing w:after="0" w:line="240" w:lineRule="auto"/>
        <w:rPr>
          <w:rFonts w:ascii="Times New Roman" w:hAnsi="Times New Roman" w:cs="Times New Roman"/>
          <w:lang w:eastAsia="ar-SA"/>
        </w:rPr>
      </w:pPr>
    </w:p>
    <w:p w14:paraId="47F47AB2" w14:textId="77777777" w:rsidR="00B83AD7" w:rsidRPr="00B83AD7" w:rsidRDefault="00B83AD7" w:rsidP="00B83AD7">
      <w:pPr>
        <w:pStyle w:val="UnterberschriftSAA"/>
        <w:spacing w:before="0" w:after="0"/>
        <w:rPr>
          <w:lang w:eastAsia="ar-SA"/>
        </w:rPr>
      </w:pPr>
      <w:r w:rsidRPr="00B83AD7">
        <w:rPr>
          <w:lang w:eastAsia="ar-SA"/>
        </w:rPr>
        <w:t>Risikomanagement bei definierten Problemen und nach Auftreten von Fehlern oder Fehlfunktionen</w:t>
      </w:r>
    </w:p>
    <w:p w14:paraId="0913D9EE" w14:textId="77777777" w:rsidR="00B83AD7" w:rsidRPr="00B83AD7" w:rsidRDefault="00B83AD7" w:rsidP="00B83AD7">
      <w:pPr>
        <w:pStyle w:val="ArbeitsgangZahlen"/>
        <w:numPr>
          <w:ilvl w:val="0"/>
          <w:numId w:val="6"/>
        </w:numPr>
        <w:rPr>
          <w:lang w:eastAsia="ar-SA"/>
        </w:rPr>
      </w:pPr>
      <w:r w:rsidRPr="00B83AD7">
        <w:rPr>
          <w:lang w:eastAsia="ar-SA"/>
        </w:rPr>
        <w:t xml:space="preserve">Der Prozess des Risikomanagements basierend auf der </w:t>
      </w:r>
      <w:r w:rsidRPr="00B83AD7">
        <w:rPr>
          <w:i/>
        </w:rPr>
        <w:t>DIN EN ISO 14971</w:t>
      </w:r>
      <w:r w:rsidRPr="00B83AD7">
        <w:rPr>
          <w:lang w:eastAsia="ar-SA"/>
        </w:rPr>
        <w:t xml:space="preserve"> beinhaltet folgende Bereiche:</w:t>
      </w:r>
    </w:p>
    <w:p w14:paraId="599C3C14"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Risikobeurteilung bestehend aus:</w:t>
      </w:r>
    </w:p>
    <w:p w14:paraId="59B9A315" w14:textId="77777777" w:rsidR="00B83AD7" w:rsidRPr="00B83AD7" w:rsidRDefault="00B83AD7" w:rsidP="00B83AD7">
      <w:pPr>
        <w:pStyle w:val="ArbeitsgangUnterpunkte"/>
        <w:rPr>
          <w:lang w:eastAsia="ar-SA"/>
        </w:rPr>
      </w:pPr>
      <w:r w:rsidRPr="00B83AD7">
        <w:rPr>
          <w:lang w:eastAsia="ar-SA"/>
        </w:rPr>
        <w:t>Risikoanalyse</w:t>
      </w:r>
    </w:p>
    <w:p w14:paraId="41B231F9" w14:textId="77777777" w:rsidR="00B83AD7" w:rsidRPr="00B83AD7" w:rsidRDefault="00B83AD7" w:rsidP="00B83AD7">
      <w:pPr>
        <w:pStyle w:val="ArbeitsgangUnterpunkte"/>
        <w:rPr>
          <w:lang w:eastAsia="ar-SA"/>
        </w:rPr>
      </w:pPr>
      <w:r w:rsidRPr="00B83AD7">
        <w:rPr>
          <w:lang w:eastAsia="ar-SA"/>
        </w:rPr>
        <w:t>Risikobewertung</w:t>
      </w:r>
    </w:p>
    <w:p w14:paraId="6C33F306"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 xml:space="preserve">Risikobeherrschung </w:t>
      </w:r>
    </w:p>
    <w:p w14:paraId="1FFF17A8"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Bewertung des Gesamt-Risikos</w:t>
      </w:r>
    </w:p>
    <w:p w14:paraId="183B3FDB"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Risikomanagement-Bericht</w:t>
      </w:r>
    </w:p>
    <w:p w14:paraId="340D7466" w14:textId="77777777" w:rsidR="00B83AD7" w:rsidRPr="00B83AD7" w:rsidRDefault="00B83AD7" w:rsidP="00B83AD7">
      <w:pPr>
        <w:pStyle w:val="FormatvorlageAufgezhlt2"/>
        <w:tabs>
          <w:tab w:val="clear" w:pos="1134"/>
          <w:tab w:val="num" w:pos="851"/>
        </w:tabs>
        <w:ind w:left="851" w:hanging="425"/>
        <w:rPr>
          <w:lang w:eastAsia="ar-SA"/>
        </w:rPr>
      </w:pPr>
      <w:r w:rsidRPr="00B83AD7">
        <w:rPr>
          <w:lang w:eastAsia="ar-SA"/>
        </w:rPr>
        <w:t>Risikoüberwachung</w:t>
      </w:r>
    </w:p>
    <w:p w14:paraId="03373D9B" w14:textId="77777777" w:rsidR="00B83AD7" w:rsidRPr="00B83AD7" w:rsidRDefault="00B83AD7" w:rsidP="00B83AD7">
      <w:pPr>
        <w:suppressAutoHyphens/>
        <w:spacing w:after="0" w:line="240" w:lineRule="auto"/>
        <w:rPr>
          <w:rFonts w:ascii="Times New Roman" w:hAnsi="Times New Roman" w:cs="Times New Roman"/>
          <w:lang w:eastAsia="ar-SA"/>
        </w:rPr>
      </w:pPr>
      <w:r w:rsidRPr="00B83AD7">
        <w:rPr>
          <w:rFonts w:ascii="Times New Roman" w:hAnsi="Times New Roman" w:cs="Times New Roman"/>
          <w:lang w:eastAsia="ar-SA"/>
        </w:rPr>
        <w:t xml:space="preserve">Der Prozess des Risikomanagements ist durchzuführen und zu dokumentieren. </w:t>
      </w:r>
    </w:p>
    <w:p w14:paraId="04DDA4CF" w14:textId="6C75FB55" w:rsidR="00B83AD7" w:rsidRDefault="00B83AD7">
      <w:pPr>
        <w:rPr>
          <w:rFonts w:ascii="Times New Roman" w:hAnsi="Times New Roman" w:cs="Times New Roman"/>
        </w:rPr>
      </w:pPr>
      <w:r>
        <w:rPr>
          <w:rFonts w:ascii="Times New Roman" w:hAnsi="Times New Roman" w:cs="Times New Roman"/>
        </w:rPr>
        <w:br w:type="page"/>
      </w:r>
    </w:p>
    <w:p w14:paraId="203BA62C" w14:textId="5BB64543" w:rsidR="00B83AD7" w:rsidRDefault="00B83AD7" w:rsidP="00B83AD7">
      <w:pPr>
        <w:suppressAutoHyphens/>
        <w:spacing w:after="0" w:line="240" w:lineRule="auto"/>
        <w:rPr>
          <w:rFonts w:ascii="Times New Roman" w:hAnsi="Times New Roman" w:cs="Times New Roman"/>
          <w:b/>
          <w:u w:val="single"/>
          <w:lang w:eastAsia="ar-SA"/>
        </w:rPr>
      </w:pPr>
      <w:r w:rsidRPr="00B83AD7">
        <w:rPr>
          <w:rFonts w:ascii="Times New Roman" w:hAnsi="Times New Roman" w:cs="Times New Roman"/>
          <w:b/>
          <w:u w:val="single"/>
          <w:lang w:eastAsia="ar-SA"/>
        </w:rPr>
        <w:t>Risikomanagement bei der Aufbereitung neuer Medizinprodukte</w:t>
      </w:r>
    </w:p>
    <w:p w14:paraId="7A8BFF5E" w14:textId="77777777" w:rsidR="00B83AD7" w:rsidRPr="00B83AD7" w:rsidRDefault="00B83AD7" w:rsidP="00B83AD7">
      <w:pPr>
        <w:suppressAutoHyphens/>
        <w:spacing w:after="0" w:line="240" w:lineRule="auto"/>
        <w:rPr>
          <w:rFonts w:ascii="Times New Roman" w:hAnsi="Times New Roman" w:cs="Times New Roman"/>
          <w:bCs/>
          <w:lang w:eastAsia="ar-SA"/>
        </w:rPr>
      </w:pPr>
    </w:p>
    <w:p w14:paraId="01470E4D" w14:textId="77777777" w:rsidR="00B83AD7" w:rsidRPr="000D39DE" w:rsidRDefault="00B83AD7" w:rsidP="000D39DE">
      <w:pPr>
        <w:suppressAutoHyphens/>
        <w:spacing w:after="0" w:line="240" w:lineRule="auto"/>
        <w:rPr>
          <w:rFonts w:ascii="Times New Roman" w:hAnsi="Times New Roman" w:cs="Times New Roman"/>
          <w:lang w:eastAsia="ar-SA"/>
        </w:rPr>
      </w:pPr>
      <w:r>
        <w:object w:dxaOrig="9686" w:dyaOrig="12527" w14:anchorId="580A5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8pt;height:566.85pt" o:ole="">
            <v:imagedata r:id="rId7" o:title=""/>
          </v:shape>
          <o:OLEObject Type="Embed" ProgID="Visio.Drawing.11" ShapeID="_x0000_i1025" DrawAspect="Content" ObjectID="_1704691592" r:id="rId8"/>
        </w:object>
      </w:r>
    </w:p>
    <w:p w14:paraId="0537CB91" w14:textId="77777777" w:rsidR="001313CB" w:rsidRPr="00B83AD7" w:rsidRDefault="001313CB" w:rsidP="00B83AD7">
      <w:pPr>
        <w:spacing w:after="0" w:line="240" w:lineRule="auto"/>
        <w:rPr>
          <w:rFonts w:ascii="Times New Roman" w:hAnsi="Times New Roman" w:cs="Times New Roman"/>
        </w:rPr>
      </w:pPr>
    </w:p>
    <w:sectPr w:rsidR="001313CB" w:rsidRPr="00B83AD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74A6" w14:textId="77777777" w:rsidR="008B7FCC" w:rsidRDefault="008B7FCC" w:rsidP="001313CB">
      <w:pPr>
        <w:spacing w:after="0" w:line="240" w:lineRule="auto"/>
      </w:pPr>
      <w:r>
        <w:separator/>
      </w:r>
    </w:p>
  </w:endnote>
  <w:endnote w:type="continuationSeparator" w:id="0">
    <w:p w14:paraId="2C729421" w14:textId="77777777" w:rsidR="008B7FCC" w:rsidRDefault="008B7FCC"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5A52" w14:textId="77777777" w:rsidR="00776C32" w:rsidRDefault="00776C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7D2A3B1A" w14:textId="77777777" w:rsidTr="008C0669">
      <w:tc>
        <w:tcPr>
          <w:tcW w:w="1134" w:type="dxa"/>
          <w:tcMar>
            <w:left w:w="28" w:type="dxa"/>
            <w:right w:w="28" w:type="dxa"/>
          </w:tcMar>
        </w:tcPr>
        <w:p w14:paraId="2476572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6AFB06D4"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3B41D6AC"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67D54E70"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7D2F033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0F9C323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763F804F" w14:textId="2DE6E8EB"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337BE2">
            <w:rPr>
              <w:rFonts w:ascii="Times New Roman" w:hAnsi="Times New Roman" w:cs="Times New Roman"/>
              <w:noProof/>
              <w:sz w:val="16"/>
              <w:szCs w:val="16"/>
            </w:rPr>
            <w:t>VA_GRU_QMS_03_01_Risikobewertung_Einstufung</w:t>
          </w:r>
          <w:r w:rsidRPr="008C0669">
            <w:rPr>
              <w:rFonts w:ascii="Times New Roman" w:hAnsi="Times New Roman" w:cs="Times New Roman"/>
              <w:sz w:val="16"/>
              <w:szCs w:val="16"/>
            </w:rPr>
            <w:fldChar w:fldCharType="end"/>
          </w:r>
        </w:p>
      </w:tc>
    </w:tr>
    <w:tr w:rsidR="00164C10" w:rsidRPr="00164C10" w14:paraId="22693FCB" w14:textId="77777777" w:rsidTr="008C0669">
      <w:tc>
        <w:tcPr>
          <w:tcW w:w="1134" w:type="dxa"/>
          <w:tcMar>
            <w:left w:w="28" w:type="dxa"/>
            <w:right w:w="28" w:type="dxa"/>
          </w:tcMar>
        </w:tcPr>
        <w:p w14:paraId="582A3D9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6788DDE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08B50AC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246A7E4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247B66C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2D2292DF" w14:textId="77777777" w:rsidR="00164C10" w:rsidRPr="008C0669" w:rsidRDefault="00164C10" w:rsidP="00164C10">
          <w:pPr>
            <w:pStyle w:val="Fuzeile"/>
            <w:rPr>
              <w:rFonts w:ascii="Times New Roman" w:hAnsi="Times New Roman" w:cs="Times New Roman"/>
              <w:sz w:val="16"/>
              <w:szCs w:val="16"/>
            </w:rPr>
          </w:pPr>
        </w:p>
      </w:tc>
    </w:tr>
    <w:tr w:rsidR="00164C10" w:rsidRPr="00164C10" w14:paraId="139A25BF" w14:textId="77777777" w:rsidTr="008C0669">
      <w:tc>
        <w:tcPr>
          <w:tcW w:w="1134" w:type="dxa"/>
          <w:tcMar>
            <w:left w:w="28" w:type="dxa"/>
            <w:right w:w="28" w:type="dxa"/>
          </w:tcMar>
        </w:tcPr>
        <w:p w14:paraId="3AC10CDD"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1B174404"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66991D1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1AFE4B82"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28A384A2"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2423FC7E" w14:textId="77777777" w:rsidR="00164C10" w:rsidRPr="008C0669" w:rsidRDefault="00164C10" w:rsidP="00164C10">
          <w:pPr>
            <w:pStyle w:val="Fuzeile"/>
            <w:rPr>
              <w:rFonts w:ascii="Times New Roman" w:hAnsi="Times New Roman" w:cs="Times New Roman"/>
              <w:sz w:val="16"/>
              <w:szCs w:val="16"/>
            </w:rPr>
          </w:pPr>
        </w:p>
      </w:tc>
    </w:tr>
    <w:tr w:rsidR="00164C10" w:rsidRPr="00164C10" w14:paraId="2F9A5D7A" w14:textId="77777777" w:rsidTr="008C0669">
      <w:tc>
        <w:tcPr>
          <w:tcW w:w="1134" w:type="dxa"/>
          <w:tcMar>
            <w:left w:w="28" w:type="dxa"/>
            <w:right w:w="28" w:type="dxa"/>
          </w:tcMar>
        </w:tcPr>
        <w:p w14:paraId="1BA6DE2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6BA5B990" w14:textId="59B04AB9"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776C32">
            <w:rPr>
              <w:rFonts w:ascii="Times New Roman" w:hAnsi="Times New Roman" w:cs="Times New Roman"/>
              <w:noProof/>
              <w:sz w:val="16"/>
              <w:szCs w:val="16"/>
            </w:rPr>
            <w:t>16.08.2021</w:t>
          </w:r>
          <w:r w:rsidRPr="008C0669">
            <w:rPr>
              <w:rFonts w:ascii="Times New Roman" w:hAnsi="Times New Roman" w:cs="Times New Roman"/>
              <w:sz w:val="16"/>
              <w:szCs w:val="16"/>
            </w:rPr>
            <w:fldChar w:fldCharType="end"/>
          </w:r>
        </w:p>
      </w:tc>
      <w:tc>
        <w:tcPr>
          <w:tcW w:w="1298" w:type="dxa"/>
          <w:tcMar>
            <w:left w:w="28" w:type="dxa"/>
            <w:right w:w="28" w:type="dxa"/>
          </w:tcMar>
        </w:tcPr>
        <w:p w14:paraId="4FCCAE0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7A3CAE16"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04EF6BA5"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700150E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7D89EEC8"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5000DDAC" w14:textId="77777777" w:rsidR="00164C10" w:rsidRPr="00164C10" w:rsidRDefault="00164C10">
    <w:pPr>
      <w:pStyle w:val="Fuzeile"/>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0193" w14:textId="77777777" w:rsidR="00776C32" w:rsidRDefault="00776C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F3CF" w14:textId="77777777" w:rsidR="008B7FCC" w:rsidRDefault="008B7FCC" w:rsidP="001313CB">
      <w:pPr>
        <w:spacing w:after="0" w:line="240" w:lineRule="auto"/>
      </w:pPr>
      <w:r>
        <w:separator/>
      </w:r>
    </w:p>
  </w:footnote>
  <w:footnote w:type="continuationSeparator" w:id="0">
    <w:p w14:paraId="341D4D21" w14:textId="77777777" w:rsidR="008B7FCC" w:rsidRDefault="008B7FCC"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D2A1" w14:textId="77777777" w:rsidR="00776C32" w:rsidRDefault="00776C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36976332" w14:textId="77777777" w:rsidTr="00164C10">
      <w:trPr>
        <w:trHeight w:val="850"/>
      </w:trPr>
      <w:tc>
        <w:tcPr>
          <w:tcW w:w="2409" w:type="dxa"/>
          <w:vMerge w:val="restart"/>
        </w:tcPr>
        <w:p w14:paraId="03918394" w14:textId="15DDAEDF" w:rsidR="001313CB" w:rsidRDefault="00776C32" w:rsidP="00776C32">
          <w:pPr>
            <w:pStyle w:val="Kopfzeile"/>
            <w:jc w:val="center"/>
            <w:rPr>
              <w:rFonts w:ascii="Times New Roman" w:hAnsi="Times New Roman" w:cs="Times New Roman"/>
            </w:rPr>
          </w:pPr>
          <w:r>
            <w:rPr>
              <w:noProof/>
            </w:rPr>
            <w:drawing>
              <wp:inline distT="0" distB="0" distL="0" distR="0" wp14:anchorId="3AF46596" wp14:editId="4CEA058E">
                <wp:extent cx="1259840" cy="9245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00718702"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1E54FAB8"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3D233804"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0B28C843" w14:textId="7FE0FCA6" w:rsidR="001313CB" w:rsidRDefault="00B83AD7" w:rsidP="001313CB">
          <w:pPr>
            <w:pStyle w:val="Kopfzeile"/>
            <w:jc w:val="right"/>
            <w:rPr>
              <w:rFonts w:ascii="Times New Roman" w:hAnsi="Times New Roman" w:cs="Times New Roman"/>
            </w:rPr>
          </w:pPr>
          <w:r>
            <w:rPr>
              <w:rFonts w:ascii="Times New Roman" w:hAnsi="Times New Roman"/>
              <w:b/>
            </w:rPr>
            <w:t>VA</w:t>
          </w:r>
          <w:r w:rsidR="001313CB">
            <w:rPr>
              <w:rFonts w:ascii="Times New Roman" w:hAnsi="Times New Roman"/>
              <w:b/>
            </w:rPr>
            <w:t>_GRU_QMS</w:t>
          </w:r>
          <w:r w:rsidR="001313CB" w:rsidRPr="00581B99">
            <w:rPr>
              <w:rFonts w:ascii="Times New Roman" w:hAnsi="Times New Roman"/>
              <w:b/>
            </w:rPr>
            <w:t>_0</w:t>
          </w:r>
          <w:r>
            <w:rPr>
              <w:rFonts w:ascii="Times New Roman" w:hAnsi="Times New Roman"/>
              <w:b/>
            </w:rPr>
            <w:t>3</w:t>
          </w:r>
        </w:p>
      </w:tc>
    </w:tr>
    <w:tr w:rsidR="001313CB" w14:paraId="75606DB6" w14:textId="77777777" w:rsidTr="00164C10">
      <w:tc>
        <w:tcPr>
          <w:tcW w:w="2409" w:type="dxa"/>
          <w:vMerge/>
        </w:tcPr>
        <w:p w14:paraId="68C5391F" w14:textId="77777777" w:rsidR="001313CB" w:rsidRDefault="001313CB" w:rsidP="001313CB">
          <w:pPr>
            <w:pStyle w:val="Kopfzeile"/>
            <w:jc w:val="center"/>
            <w:rPr>
              <w:rFonts w:ascii="Times New Roman" w:hAnsi="Times New Roman" w:cs="Times New Roman"/>
            </w:rPr>
          </w:pPr>
        </w:p>
      </w:tc>
      <w:tc>
        <w:tcPr>
          <w:tcW w:w="4252" w:type="dxa"/>
        </w:tcPr>
        <w:p w14:paraId="712D50CC"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72818995"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6E88137C" w14:textId="77777777" w:rsidR="001313CB" w:rsidRDefault="001313CB" w:rsidP="001313CB">
          <w:pPr>
            <w:pStyle w:val="Kopfzeile"/>
            <w:jc w:val="center"/>
            <w:rPr>
              <w:rFonts w:ascii="Times New Roman" w:hAnsi="Times New Roman" w:cs="Times New Roman"/>
            </w:rPr>
          </w:pPr>
        </w:p>
      </w:tc>
    </w:tr>
    <w:tr w:rsidR="001313CB" w14:paraId="42DC6FFA" w14:textId="77777777" w:rsidTr="00164C10">
      <w:tc>
        <w:tcPr>
          <w:tcW w:w="2409" w:type="dxa"/>
          <w:vMerge/>
        </w:tcPr>
        <w:p w14:paraId="0F5DCE17" w14:textId="77777777" w:rsidR="001313CB" w:rsidRDefault="001313CB" w:rsidP="001313CB">
          <w:pPr>
            <w:pStyle w:val="Kopfzeile"/>
            <w:jc w:val="center"/>
            <w:rPr>
              <w:rFonts w:ascii="Times New Roman" w:hAnsi="Times New Roman" w:cs="Times New Roman"/>
            </w:rPr>
          </w:pPr>
        </w:p>
      </w:tc>
      <w:tc>
        <w:tcPr>
          <w:tcW w:w="4252" w:type="dxa"/>
        </w:tcPr>
        <w:p w14:paraId="59562B46" w14:textId="62E67958" w:rsidR="001313CB" w:rsidRPr="00B83AD7" w:rsidRDefault="00B83AD7" w:rsidP="00B83AD7">
          <w:pPr>
            <w:pStyle w:val="berschrift1"/>
            <w:jc w:val="center"/>
            <w:outlineLvl w:val="0"/>
            <w:rPr>
              <w:rFonts w:ascii="Times New Roman" w:hAnsi="Times New Roman"/>
              <w:bCs/>
            </w:rPr>
          </w:pPr>
          <w:r w:rsidRPr="00B83AD7">
            <w:rPr>
              <w:rFonts w:ascii="Times New Roman" w:hAnsi="Times New Roman"/>
              <w:bCs/>
              <w:sz w:val="22"/>
            </w:rPr>
            <w:t>Risikobewertung und Einstufung von</w:t>
          </w:r>
          <w:r>
            <w:rPr>
              <w:rFonts w:ascii="Times New Roman" w:hAnsi="Times New Roman"/>
              <w:bCs/>
              <w:sz w:val="22"/>
            </w:rPr>
            <w:t xml:space="preserve"> </w:t>
          </w:r>
          <w:r w:rsidRPr="00B83AD7">
            <w:rPr>
              <w:rFonts w:ascii="Times New Roman" w:hAnsi="Times New Roman"/>
              <w:bCs/>
              <w:sz w:val="22"/>
            </w:rPr>
            <w:t>Medizinprodukte</w:t>
          </w:r>
          <w:r w:rsidR="001313CB" w:rsidRPr="00B83AD7">
            <w:rPr>
              <w:rFonts w:ascii="Times New Roman" w:hAnsi="Times New Roman"/>
              <w:bCs/>
            </w:rPr>
            <w:t>n</w:t>
          </w:r>
        </w:p>
      </w:tc>
      <w:tc>
        <w:tcPr>
          <w:tcW w:w="2409" w:type="dxa"/>
          <w:vMerge/>
        </w:tcPr>
        <w:p w14:paraId="59C70374" w14:textId="77777777" w:rsidR="001313CB" w:rsidRDefault="001313CB" w:rsidP="001313CB">
          <w:pPr>
            <w:pStyle w:val="Kopfzeile"/>
            <w:jc w:val="center"/>
            <w:rPr>
              <w:rFonts w:ascii="Times New Roman" w:hAnsi="Times New Roman" w:cs="Times New Roman"/>
            </w:rPr>
          </w:pPr>
        </w:p>
      </w:tc>
    </w:tr>
  </w:tbl>
  <w:p w14:paraId="1DC0A6CF" w14:textId="77777777" w:rsidR="001313CB" w:rsidRPr="001313CB" w:rsidRDefault="001313CB">
    <w:pPr>
      <w:pStyle w:val="Kopfzeil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31FF" w14:textId="77777777" w:rsidR="00776C32" w:rsidRDefault="00776C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26A04294"/>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BC50821"/>
    <w:multiLevelType w:val="hybridMultilevel"/>
    <w:tmpl w:val="90AEFF1A"/>
    <w:lvl w:ilvl="0" w:tplc="4DAE90F4">
      <w:start w:val="1"/>
      <w:numFmt w:val="decimal"/>
      <w:pStyle w:val="ArbeitsgangZahlen"/>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BC0C06"/>
    <w:multiLevelType w:val="hybridMultilevel"/>
    <w:tmpl w:val="1542F062"/>
    <w:lvl w:ilvl="0" w:tplc="D1AA23E2">
      <w:start w:val="1"/>
      <w:numFmt w:val="decimal"/>
      <w:pStyle w:val="Nummer"/>
      <w:lvlText w:val="%1."/>
      <w:lvlJc w:val="left"/>
      <w:pPr>
        <w:tabs>
          <w:tab w:val="num" w:pos="0"/>
        </w:tabs>
        <w:ind w:left="360" w:hanging="360"/>
      </w:pPr>
      <w:rPr>
        <w:rFonts w:hint="default"/>
      </w:rPr>
    </w:lvl>
    <w:lvl w:ilvl="1" w:tplc="1A709BC8">
      <w:start w:val="1"/>
      <w:numFmt w:val="decimal"/>
      <w:pStyle w:val="Nummer"/>
      <w:lvlText w:val="%2."/>
      <w:lvlJc w:val="left"/>
      <w:pPr>
        <w:tabs>
          <w:tab w:val="num" w:pos="108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314AEC"/>
    <w:multiLevelType w:val="hybridMultilevel"/>
    <w:tmpl w:val="EFEA88E8"/>
    <w:lvl w:ilvl="0" w:tplc="15222896">
      <w:start w:val="1"/>
      <w:numFmt w:val="decimal"/>
      <w:lvlText w:val="%1."/>
      <w:lvlJc w:val="left"/>
      <w:pPr>
        <w:tabs>
          <w:tab w:val="num" w:pos="360"/>
        </w:tabs>
        <w:ind w:left="709" w:hanging="709"/>
      </w:pPr>
      <w:rPr>
        <w:rFonts w:ascii="Arial" w:hAnsi="Arial"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8F96641"/>
    <w:multiLevelType w:val="hybridMultilevel"/>
    <w:tmpl w:val="1F462900"/>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01">
      <w:start w:val="1"/>
      <w:numFmt w:val="bullet"/>
      <w:lvlText w:val=""/>
      <w:lvlJc w:val="left"/>
      <w:pPr>
        <w:tabs>
          <w:tab w:val="num" w:pos="2160"/>
        </w:tabs>
        <w:ind w:left="2160" w:hanging="18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D7"/>
    <w:rsid w:val="000D39DE"/>
    <w:rsid w:val="001313CB"/>
    <w:rsid w:val="00164C10"/>
    <w:rsid w:val="001A7A8A"/>
    <w:rsid w:val="001F63CF"/>
    <w:rsid w:val="00337BE2"/>
    <w:rsid w:val="003846F1"/>
    <w:rsid w:val="0039709C"/>
    <w:rsid w:val="004C6292"/>
    <w:rsid w:val="00616993"/>
    <w:rsid w:val="00626530"/>
    <w:rsid w:val="00645335"/>
    <w:rsid w:val="006B1039"/>
    <w:rsid w:val="00742D72"/>
    <w:rsid w:val="00776C32"/>
    <w:rsid w:val="008B7FCC"/>
    <w:rsid w:val="008C0669"/>
    <w:rsid w:val="009C32EE"/>
    <w:rsid w:val="009E77EE"/>
    <w:rsid w:val="00A935AB"/>
    <w:rsid w:val="00B83AD7"/>
    <w:rsid w:val="00BC3C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138F"/>
  <w15:chartTrackingRefBased/>
  <w15:docId w15:val="{D1A19841-F72C-4D3E-AF96-6C302B5B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1313CB"/>
    <w:pPr>
      <w:tabs>
        <w:tab w:val="center" w:pos="4536"/>
        <w:tab w:val="right" w:pos="9072"/>
      </w:tabs>
      <w:spacing w:after="0" w:line="240" w:lineRule="auto"/>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SAA">
    <w:name w:val="Inhalt SAA"/>
    <w:basedOn w:val="Standard"/>
    <w:rsid w:val="00B83AD7"/>
    <w:pPr>
      <w:spacing w:after="0" w:line="240" w:lineRule="auto"/>
    </w:pPr>
    <w:rPr>
      <w:rFonts w:ascii="Times New Roman" w:eastAsia="Times New Roman" w:hAnsi="Times New Roman" w:cs="Times New Roman"/>
      <w:szCs w:val="20"/>
      <w:lang w:eastAsia="de-DE"/>
    </w:rPr>
  </w:style>
  <w:style w:type="paragraph" w:customStyle="1" w:styleId="ArbeitsvorbereitungPunkte">
    <w:name w:val="Arbeitsvorbereitung Punkte"/>
    <w:basedOn w:val="Standard"/>
    <w:link w:val="ArbeitsvorbereitungPunkteZchnZchn"/>
    <w:rsid w:val="00B83AD7"/>
    <w:pPr>
      <w:numPr>
        <w:numId w:val="1"/>
      </w:numPr>
      <w:spacing w:after="0" w:line="240" w:lineRule="auto"/>
    </w:pPr>
    <w:rPr>
      <w:rFonts w:ascii="Times New Roman" w:eastAsia="Times New Roman" w:hAnsi="Times New Roman" w:cs="Times New Roman"/>
      <w:szCs w:val="20"/>
      <w:lang w:eastAsia="de-DE"/>
    </w:rPr>
  </w:style>
  <w:style w:type="character" w:customStyle="1" w:styleId="ArbeitsvorbereitungPunkteZchnZchn">
    <w:name w:val="Arbeitsvorbereitung Punkte Zchn Zchn"/>
    <w:link w:val="ArbeitsvorbereitungPunkte"/>
    <w:rsid w:val="00B83AD7"/>
    <w:rPr>
      <w:rFonts w:ascii="Times New Roman" w:eastAsia="Times New Roman" w:hAnsi="Times New Roman" w:cs="Times New Roman"/>
      <w:szCs w:val="20"/>
      <w:lang w:eastAsia="de-DE"/>
    </w:rPr>
  </w:style>
  <w:style w:type="character" w:customStyle="1" w:styleId="berschriftVA">
    <w:name w:val="Überschrift VA"/>
    <w:rsid w:val="00B83AD7"/>
    <w:rPr>
      <w:b/>
      <w:bCs/>
      <w:sz w:val="22"/>
      <w:u w:val="single"/>
    </w:rPr>
  </w:style>
  <w:style w:type="paragraph" w:styleId="StandardWeb">
    <w:name w:val="Normal (Web)"/>
    <w:basedOn w:val="Standard"/>
    <w:uiPriority w:val="99"/>
    <w:unhideWhenUsed/>
    <w:rsid w:val="00B83AD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nterberschriftSAA">
    <w:name w:val="Unterüberschrift SAA"/>
    <w:basedOn w:val="Standard"/>
    <w:rsid w:val="00B83AD7"/>
    <w:pPr>
      <w:spacing w:before="50" w:after="30" w:line="240" w:lineRule="auto"/>
    </w:pPr>
    <w:rPr>
      <w:rFonts w:ascii="Times New Roman" w:eastAsia="Times New Roman" w:hAnsi="Times New Roman" w:cs="Times New Roman"/>
      <w:szCs w:val="20"/>
      <w:u w:val="single"/>
      <w:lang w:eastAsia="de-DE"/>
    </w:rPr>
  </w:style>
  <w:style w:type="paragraph" w:customStyle="1" w:styleId="InhaltVA">
    <w:name w:val="Inhalt VA"/>
    <w:basedOn w:val="Standard"/>
    <w:rsid w:val="00B83AD7"/>
    <w:pPr>
      <w:spacing w:after="0" w:line="240" w:lineRule="auto"/>
      <w:jc w:val="both"/>
    </w:pPr>
    <w:rPr>
      <w:rFonts w:ascii="Times New Roman" w:eastAsia="Times New Roman" w:hAnsi="Times New Roman" w:cs="Times New Roman"/>
      <w:color w:val="000000"/>
      <w:szCs w:val="20"/>
      <w:lang w:eastAsia="de-DE"/>
    </w:rPr>
  </w:style>
  <w:style w:type="paragraph" w:customStyle="1" w:styleId="ArbeitsgangZahlen">
    <w:name w:val="Arbeitsgang Zahlen"/>
    <w:basedOn w:val="Standard"/>
    <w:rsid w:val="00B83AD7"/>
    <w:pPr>
      <w:numPr>
        <w:numId w:val="5"/>
      </w:numPr>
      <w:spacing w:after="0" w:line="240" w:lineRule="auto"/>
    </w:pPr>
    <w:rPr>
      <w:rFonts w:ascii="Times New Roman" w:eastAsia="Times New Roman" w:hAnsi="Times New Roman" w:cs="Times New Roman"/>
      <w:szCs w:val="20"/>
      <w:lang w:eastAsia="de-DE"/>
    </w:rPr>
  </w:style>
  <w:style w:type="paragraph" w:customStyle="1" w:styleId="FormatvorlageAufgezhlt2">
    <w:name w:val="Formatvorlage Aufgezählt2"/>
    <w:basedOn w:val="Standard"/>
    <w:rsid w:val="00B83AD7"/>
    <w:pPr>
      <w:numPr>
        <w:ilvl w:val="1"/>
        <w:numId w:val="3"/>
      </w:numPr>
      <w:spacing w:after="0" w:line="240" w:lineRule="auto"/>
    </w:pPr>
    <w:rPr>
      <w:rFonts w:ascii="Times New Roman" w:eastAsia="Times New Roman" w:hAnsi="Times New Roman" w:cs="Times New Roman"/>
      <w:szCs w:val="20"/>
      <w:lang w:eastAsia="de-DE"/>
    </w:rPr>
  </w:style>
  <w:style w:type="paragraph" w:customStyle="1" w:styleId="ArbeitsgangUnterpunkte">
    <w:name w:val="Arbeitsgang Unterpunkte"/>
    <w:basedOn w:val="Standard"/>
    <w:rsid w:val="00B83AD7"/>
    <w:pPr>
      <w:spacing w:after="0" w:line="240" w:lineRule="auto"/>
    </w:pPr>
    <w:rPr>
      <w:rFonts w:ascii="Times New Roman" w:eastAsia="Times New Roman" w:hAnsi="Times New Roman" w:cs="Times New Roman"/>
      <w:szCs w:val="20"/>
      <w:lang w:eastAsia="de-DE"/>
    </w:rPr>
  </w:style>
  <w:style w:type="paragraph" w:customStyle="1" w:styleId="Nummer">
    <w:name w:val="Nummer"/>
    <w:basedOn w:val="Standard"/>
    <w:rsid w:val="00B83AD7"/>
    <w:pPr>
      <w:numPr>
        <w:ilvl w:val="1"/>
        <w:numId w:val="4"/>
      </w:numPr>
      <w:tabs>
        <w:tab w:val="clear" w:pos="1080"/>
        <w:tab w:val="num" w:pos="0"/>
      </w:tabs>
      <w:spacing w:after="0" w:line="240" w:lineRule="auto"/>
      <w:ind w:left="360"/>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7BD01-16A2-4527-913C-46DFCAC2D893}"/>
</file>

<file path=customXml/itemProps2.xml><?xml version="1.0" encoding="utf-8"?>
<ds:datastoreItem xmlns:ds="http://schemas.openxmlformats.org/officeDocument/2006/customXml" ds:itemID="{54379071-933E-48CD-8ABD-8747D457305E}"/>
</file>

<file path=docProps/app.xml><?xml version="1.0" encoding="utf-8"?>
<Properties xmlns="http://schemas.openxmlformats.org/officeDocument/2006/extended-properties" xmlns:vt="http://schemas.openxmlformats.org/officeDocument/2006/docPropsVTypes">
  <Template>Verfahrensanweisung</Template>
  <TotalTime>0</TotalTime>
  <Pages>1</Pages>
  <Words>1086</Words>
  <Characters>6848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 Primara</dc:creator>
  <cp:keywords/>
  <dc:description/>
  <cp:lastModifiedBy>Harald Moll</cp:lastModifiedBy>
  <cp:revision>6</cp:revision>
  <dcterms:created xsi:type="dcterms:W3CDTF">2020-12-10T10:43:00Z</dcterms:created>
  <dcterms:modified xsi:type="dcterms:W3CDTF">2022-01-26T07:40:00Z</dcterms:modified>
</cp:coreProperties>
</file>