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71" w:type="dxa"/>
        <w:tblLayout w:type="fixed"/>
        <w:tblLook w:val="04A0" w:firstRow="1" w:lastRow="0" w:firstColumn="1" w:lastColumn="0" w:noHBand="0" w:noVBand="1"/>
      </w:tblPr>
      <w:tblGrid>
        <w:gridCol w:w="3685"/>
        <w:gridCol w:w="5386"/>
      </w:tblGrid>
      <w:tr w:rsidR="001313CB" w14:paraId="5894F1CF" w14:textId="77777777" w:rsidTr="0099460E">
        <w:tc>
          <w:tcPr>
            <w:tcW w:w="9071" w:type="dxa"/>
            <w:gridSpan w:val="2"/>
          </w:tcPr>
          <w:p w14:paraId="0873ABDD" w14:textId="77777777" w:rsidR="001313CB" w:rsidRPr="001313CB" w:rsidRDefault="001313CB" w:rsidP="001313CB">
            <w:pPr>
              <w:jc w:val="center"/>
              <w:rPr>
                <w:rFonts w:ascii="Times New Roman" w:hAnsi="Times New Roman" w:cs="Times New Roman"/>
              </w:rPr>
            </w:pPr>
            <w:r w:rsidRPr="001313CB">
              <w:rPr>
                <w:rFonts w:ascii="Times New Roman" w:hAnsi="Times New Roman" w:cs="Times New Roman"/>
                <w:b/>
                <w:szCs w:val="24"/>
              </w:rPr>
              <w:t>Stammblatt</w:t>
            </w:r>
          </w:p>
        </w:tc>
      </w:tr>
      <w:tr w:rsidR="0099460E" w14:paraId="3013AA40" w14:textId="77777777" w:rsidTr="0099460E">
        <w:tc>
          <w:tcPr>
            <w:tcW w:w="3685" w:type="dxa"/>
            <w:vAlign w:val="center"/>
          </w:tcPr>
          <w:p w14:paraId="650D78B3" w14:textId="77777777" w:rsidR="0099460E" w:rsidRPr="001313CB" w:rsidRDefault="0099460E" w:rsidP="0099460E">
            <w:pPr>
              <w:rPr>
                <w:rFonts w:ascii="Times New Roman" w:hAnsi="Times New Roman" w:cs="Times New Roman"/>
              </w:rPr>
            </w:pPr>
            <w:r w:rsidRPr="001313CB">
              <w:rPr>
                <w:rFonts w:ascii="Times New Roman" w:hAnsi="Times New Roman" w:cs="Times New Roman"/>
                <w:b/>
                <w:szCs w:val="24"/>
              </w:rPr>
              <w:t>Ziel</w:t>
            </w:r>
          </w:p>
        </w:tc>
        <w:tc>
          <w:tcPr>
            <w:tcW w:w="5386" w:type="dxa"/>
          </w:tcPr>
          <w:p w14:paraId="50DC5773" w14:textId="5E1E1DBA" w:rsidR="0099460E" w:rsidRPr="0099460E" w:rsidRDefault="0099460E" w:rsidP="0099460E">
            <w:pPr>
              <w:rPr>
                <w:rFonts w:ascii="Times New Roman" w:hAnsi="Times New Roman" w:cs="Times New Roman"/>
              </w:rPr>
            </w:pPr>
            <w:r w:rsidRPr="0099460E">
              <w:rPr>
                <w:rFonts w:ascii="Times New Roman" w:hAnsi="Times New Roman" w:cs="Times New Roman"/>
              </w:rPr>
              <w:t>Anwendung des Risikomanagement in Anlehnung an die DIN EN ISO 14971 bei der Aufbereitung von Medizinprodukten.</w:t>
            </w:r>
          </w:p>
        </w:tc>
      </w:tr>
      <w:tr w:rsidR="0099460E" w14:paraId="0A6E7D74" w14:textId="77777777" w:rsidTr="0099460E">
        <w:tc>
          <w:tcPr>
            <w:tcW w:w="3685" w:type="dxa"/>
            <w:vAlign w:val="center"/>
          </w:tcPr>
          <w:p w14:paraId="7D771A0F" w14:textId="77777777" w:rsidR="0099460E" w:rsidRPr="001313CB" w:rsidRDefault="0099460E" w:rsidP="0099460E">
            <w:pPr>
              <w:rPr>
                <w:rFonts w:ascii="Times New Roman" w:hAnsi="Times New Roman" w:cs="Times New Roman"/>
              </w:rPr>
            </w:pPr>
            <w:r w:rsidRPr="001313CB">
              <w:rPr>
                <w:rFonts w:ascii="Times New Roman" w:hAnsi="Times New Roman" w:cs="Times New Roman"/>
                <w:b/>
                <w:szCs w:val="24"/>
              </w:rPr>
              <w:t>Anwendungsbereich</w:t>
            </w:r>
          </w:p>
        </w:tc>
        <w:tc>
          <w:tcPr>
            <w:tcW w:w="5386" w:type="dxa"/>
            <w:vAlign w:val="center"/>
          </w:tcPr>
          <w:p w14:paraId="5D2FB638" w14:textId="44674389" w:rsidR="0099460E" w:rsidRPr="0099460E" w:rsidRDefault="0099460E" w:rsidP="0099460E">
            <w:pPr>
              <w:rPr>
                <w:rFonts w:ascii="Times New Roman" w:hAnsi="Times New Roman" w:cs="Times New Roman"/>
              </w:rPr>
            </w:pPr>
            <w:r w:rsidRPr="0099460E">
              <w:rPr>
                <w:rFonts w:ascii="Times New Roman" w:hAnsi="Times New Roman" w:cs="Times New Roman"/>
              </w:rPr>
              <w:t>AEMP EL</w:t>
            </w:r>
          </w:p>
        </w:tc>
      </w:tr>
      <w:tr w:rsidR="0099460E" w14:paraId="2971DA8C" w14:textId="77777777" w:rsidTr="0099460E">
        <w:tc>
          <w:tcPr>
            <w:tcW w:w="3685" w:type="dxa"/>
            <w:vAlign w:val="center"/>
          </w:tcPr>
          <w:p w14:paraId="4BCF8F53" w14:textId="77777777" w:rsidR="0099460E" w:rsidRPr="001313CB" w:rsidRDefault="0099460E" w:rsidP="0099460E">
            <w:pPr>
              <w:rPr>
                <w:rFonts w:ascii="Times New Roman" w:hAnsi="Times New Roman" w:cs="Times New Roman"/>
              </w:rPr>
            </w:pPr>
            <w:r w:rsidRPr="001313CB">
              <w:rPr>
                <w:rFonts w:ascii="Times New Roman" w:hAnsi="Times New Roman" w:cs="Times New Roman"/>
                <w:b/>
                <w:szCs w:val="24"/>
              </w:rPr>
              <w:t>Zuständigkeit/Verantwortlichkeit</w:t>
            </w:r>
          </w:p>
        </w:tc>
        <w:tc>
          <w:tcPr>
            <w:tcW w:w="5386" w:type="dxa"/>
            <w:vAlign w:val="center"/>
          </w:tcPr>
          <w:p w14:paraId="74BA483A" w14:textId="5094811E" w:rsidR="0099460E" w:rsidRPr="0099460E" w:rsidRDefault="00845BCE" w:rsidP="0099460E">
            <w:pPr>
              <w:rPr>
                <w:rFonts w:ascii="Times New Roman" w:hAnsi="Times New Roman" w:cs="Times New Roman"/>
              </w:rPr>
            </w:pPr>
            <w:r>
              <w:rPr>
                <w:rFonts w:ascii="Times New Roman" w:hAnsi="Times New Roman" w:cs="Times New Roman"/>
              </w:rPr>
              <w:t>TSA</w:t>
            </w:r>
            <w:r w:rsidR="0099460E" w:rsidRPr="0099460E">
              <w:rPr>
                <w:rFonts w:ascii="Times New Roman" w:hAnsi="Times New Roman" w:cs="Times New Roman"/>
              </w:rPr>
              <w:t>/Leitung AEMP</w:t>
            </w:r>
          </w:p>
        </w:tc>
      </w:tr>
      <w:tr w:rsidR="0099460E" w14:paraId="2BE87D6A" w14:textId="77777777" w:rsidTr="0099460E">
        <w:tc>
          <w:tcPr>
            <w:tcW w:w="3685" w:type="dxa"/>
            <w:vAlign w:val="center"/>
          </w:tcPr>
          <w:p w14:paraId="0FDA01E8" w14:textId="77777777" w:rsidR="0099460E" w:rsidRPr="001313CB" w:rsidRDefault="0099460E" w:rsidP="0099460E">
            <w:pPr>
              <w:rPr>
                <w:rFonts w:ascii="Times New Roman" w:hAnsi="Times New Roman" w:cs="Times New Roman"/>
              </w:rPr>
            </w:pPr>
            <w:r w:rsidRPr="001313CB">
              <w:rPr>
                <w:rFonts w:ascii="Times New Roman" w:hAnsi="Times New Roman" w:cs="Times New Roman"/>
                <w:b/>
                <w:szCs w:val="24"/>
              </w:rPr>
              <w:t>Mitgeltende Dokumente</w:t>
            </w:r>
          </w:p>
        </w:tc>
        <w:tc>
          <w:tcPr>
            <w:tcW w:w="5386" w:type="dxa"/>
          </w:tcPr>
          <w:p w14:paraId="56666AAD" w14:textId="77777777" w:rsidR="0099460E" w:rsidRPr="0099460E" w:rsidRDefault="0099460E" w:rsidP="0099460E">
            <w:pPr>
              <w:rPr>
                <w:rFonts w:ascii="Times New Roman" w:hAnsi="Times New Roman" w:cs="Times New Roman"/>
              </w:rPr>
            </w:pPr>
            <w:r w:rsidRPr="0099460E">
              <w:rPr>
                <w:rFonts w:ascii="Times New Roman" w:hAnsi="Times New Roman" w:cs="Times New Roman"/>
              </w:rPr>
              <w:t>DIN EN ISO 14971 - Medizinprodukte – Anwendung des Risikomanagements auf Medizinprodukte</w:t>
            </w:r>
          </w:p>
          <w:p w14:paraId="321742B2" w14:textId="77777777" w:rsidR="0099460E" w:rsidRPr="0099460E" w:rsidRDefault="0099460E" w:rsidP="0099460E">
            <w:pPr>
              <w:rPr>
                <w:rFonts w:ascii="Times New Roman" w:hAnsi="Times New Roman" w:cs="Times New Roman"/>
              </w:rPr>
            </w:pPr>
            <w:r w:rsidRPr="0099460E">
              <w:rPr>
                <w:rFonts w:ascii="Times New Roman" w:hAnsi="Times New Roman" w:cs="Times New Roman"/>
              </w:rPr>
              <w:t>KRINKO_RKI_BfArM_Empfehlung</w:t>
            </w:r>
          </w:p>
          <w:p w14:paraId="3987DAFA" w14:textId="416663F5" w:rsidR="0099460E" w:rsidRPr="0099460E" w:rsidRDefault="0099460E" w:rsidP="0099460E">
            <w:pPr>
              <w:rPr>
                <w:rFonts w:ascii="Times New Roman" w:hAnsi="Times New Roman" w:cs="Times New Roman"/>
              </w:rPr>
            </w:pPr>
            <w:r w:rsidRPr="0099460E">
              <w:rPr>
                <w:rFonts w:ascii="Times New Roman" w:hAnsi="Times New Roman" w:cs="Times New Roman"/>
              </w:rPr>
              <w:t>VA_GRU_QMS_03_01_Risikobewertung_Einstufung</w:t>
            </w:r>
          </w:p>
        </w:tc>
      </w:tr>
    </w:tbl>
    <w:p w14:paraId="1120281F" w14:textId="4F0A2184" w:rsidR="00F65A1D" w:rsidRDefault="005D72F1" w:rsidP="001313CB">
      <w:pPr>
        <w:spacing w:after="0" w:line="240" w:lineRule="auto"/>
        <w:rPr>
          <w:rFonts w:ascii="Times New Roman" w:hAnsi="Times New Roman" w:cs="Times New Roman"/>
        </w:rPr>
      </w:pPr>
    </w:p>
    <w:p w14:paraId="52B4AA7B" w14:textId="77FD0F3D" w:rsidR="0099460E" w:rsidRDefault="0099460E" w:rsidP="001313CB">
      <w:pPr>
        <w:spacing w:after="0" w:line="240" w:lineRule="auto"/>
        <w:rPr>
          <w:rFonts w:ascii="Times New Roman" w:hAnsi="Times New Roman" w:cs="Times New Roman"/>
        </w:rPr>
      </w:pPr>
    </w:p>
    <w:p w14:paraId="7794CD45" w14:textId="17D2D8A2" w:rsidR="0099460E" w:rsidRDefault="0099460E" w:rsidP="0099460E">
      <w:pPr>
        <w:autoSpaceDE w:val="0"/>
        <w:autoSpaceDN w:val="0"/>
        <w:adjustRightInd w:val="0"/>
        <w:spacing w:after="0" w:line="240" w:lineRule="auto"/>
        <w:jc w:val="both"/>
        <w:rPr>
          <w:rStyle w:val="berschriftVA"/>
          <w:rFonts w:ascii="Times New Roman" w:hAnsi="Times New Roman" w:cs="Times New Roman"/>
        </w:rPr>
      </w:pPr>
      <w:r w:rsidRPr="0099460E">
        <w:rPr>
          <w:rStyle w:val="berschriftVA"/>
          <w:rFonts w:ascii="Times New Roman" w:hAnsi="Times New Roman" w:cs="Times New Roman"/>
        </w:rPr>
        <w:t>Beschreibung</w:t>
      </w:r>
    </w:p>
    <w:p w14:paraId="0ECD85F6" w14:textId="77777777" w:rsidR="0099460E" w:rsidRPr="0099460E" w:rsidRDefault="0099460E" w:rsidP="0099460E">
      <w:pPr>
        <w:autoSpaceDE w:val="0"/>
        <w:autoSpaceDN w:val="0"/>
        <w:adjustRightInd w:val="0"/>
        <w:spacing w:after="0" w:line="240" w:lineRule="auto"/>
        <w:jc w:val="both"/>
        <w:rPr>
          <w:rStyle w:val="berschriftVA"/>
          <w:rFonts w:ascii="Times New Roman" w:hAnsi="Times New Roman" w:cs="Times New Roman"/>
        </w:rPr>
      </w:pPr>
    </w:p>
    <w:p w14:paraId="18C13A3D" w14:textId="77777777" w:rsidR="0099460E" w:rsidRPr="0099460E" w:rsidRDefault="0099460E" w:rsidP="0099460E">
      <w:pPr>
        <w:pStyle w:val="InhaltVA"/>
        <w:numPr>
          <w:ilvl w:val="0"/>
          <w:numId w:val="2"/>
        </w:numPr>
        <w:rPr>
          <w:szCs w:val="22"/>
        </w:rPr>
      </w:pPr>
      <w:r w:rsidRPr="0099460E">
        <w:rPr>
          <w:szCs w:val="22"/>
        </w:rPr>
        <w:t>Risikobewertung</w:t>
      </w:r>
    </w:p>
    <w:p w14:paraId="47E3E25E" w14:textId="77777777" w:rsidR="0099460E" w:rsidRPr="0099460E" w:rsidRDefault="0099460E" w:rsidP="0099460E">
      <w:pPr>
        <w:pStyle w:val="InhaltVA"/>
        <w:rPr>
          <w:szCs w:val="22"/>
        </w:rPr>
      </w:pPr>
      <w:r w:rsidRPr="0099460E">
        <w:rPr>
          <w:szCs w:val="22"/>
        </w:rPr>
        <w:t>Das Risiko der Aufbereitung wird unter den Aspekten der vorgesehenen Anwendung sowie der Gefährdungen für Patienten, Mitarbeiter und Anwender bewertet. Dies geschieht unter Verwendung der oben erwähnten VA_GRU_QMS_03 (Flussdiagramm). Bei Zweifeln an der Einstufung ist das Medizinprodukt der höheren (kritischeren) Risikostufe zuzuordnen. Dabei müssen die konstruktiven, materialtechnischen und funktionellen Eigenschaften des Medizinproduktes sowie die Angaben der Hersteller und die Art der vorangegangenen und der nachfolgenden Anwendungen des Medizinproduktes berücksichtigt werden.</w:t>
      </w:r>
    </w:p>
    <w:p w14:paraId="0C70106F" w14:textId="77777777" w:rsidR="0099460E" w:rsidRPr="0099460E" w:rsidRDefault="0099460E" w:rsidP="0099460E">
      <w:pPr>
        <w:pStyle w:val="FormatvorlageAufgezhlt2"/>
        <w:ind w:hanging="451"/>
        <w:rPr>
          <w:szCs w:val="22"/>
        </w:rPr>
      </w:pPr>
      <w:r w:rsidRPr="0099460E">
        <w:rPr>
          <w:szCs w:val="22"/>
        </w:rPr>
        <w:t>Festlegung der Maßnahmen</w:t>
      </w:r>
    </w:p>
    <w:p w14:paraId="42333576" w14:textId="77777777" w:rsidR="0099460E" w:rsidRPr="0099460E" w:rsidRDefault="0099460E" w:rsidP="0099460E">
      <w:pPr>
        <w:pStyle w:val="FormatvorlageAufgezhlt2"/>
        <w:ind w:hanging="451"/>
        <w:rPr>
          <w:szCs w:val="22"/>
        </w:rPr>
      </w:pPr>
      <w:r w:rsidRPr="0099460E">
        <w:rPr>
          <w:szCs w:val="22"/>
        </w:rPr>
        <w:t>Festlegung des Aufbereitungsverfahrens</w:t>
      </w:r>
    </w:p>
    <w:p w14:paraId="4196C01E" w14:textId="77777777" w:rsidR="0099460E" w:rsidRPr="0099460E" w:rsidRDefault="0099460E" w:rsidP="0099460E">
      <w:pPr>
        <w:pStyle w:val="FormatvorlageAufgezhlt2"/>
        <w:ind w:hanging="451"/>
        <w:rPr>
          <w:szCs w:val="22"/>
        </w:rPr>
      </w:pPr>
      <w:r w:rsidRPr="0099460E">
        <w:rPr>
          <w:szCs w:val="22"/>
        </w:rPr>
        <w:t>Bei Besonderheiten und Abweichungen von bisher festgelegten Verfahren sind entsprechende Arbeitsanweisungen zu erstellen</w:t>
      </w:r>
    </w:p>
    <w:p w14:paraId="4F5506FB" w14:textId="6F47B42E" w:rsidR="0099460E" w:rsidRPr="0099460E" w:rsidRDefault="0099460E" w:rsidP="0099460E">
      <w:pPr>
        <w:pStyle w:val="InhaltVA"/>
        <w:ind w:left="400"/>
        <w:rPr>
          <w:szCs w:val="22"/>
        </w:rPr>
      </w:pPr>
      <w:r w:rsidRPr="0099460E">
        <w:rPr>
          <w:szCs w:val="22"/>
        </w:rPr>
        <w:t>Die Aufbereitung von Medizinprodukten, die ohne entsprechende Angaben der Hersteller zur Aufbereitung geliefert werden</w:t>
      </w:r>
      <w:r>
        <w:rPr>
          <w:szCs w:val="22"/>
        </w:rPr>
        <w:t>,</w:t>
      </w:r>
      <w:r w:rsidRPr="0099460E">
        <w:rPr>
          <w:szCs w:val="22"/>
        </w:rPr>
        <w:t xml:space="preserve"> sowie von Einmalprodukten</w:t>
      </w:r>
      <w:r>
        <w:rPr>
          <w:szCs w:val="22"/>
        </w:rPr>
        <w:t>,</w:t>
      </w:r>
      <w:r w:rsidRPr="0099460E">
        <w:rPr>
          <w:szCs w:val="22"/>
        </w:rPr>
        <w:t xml:space="preserve"> ist ausdrücklich ausgeschlossen.</w:t>
      </w:r>
    </w:p>
    <w:p w14:paraId="0BF99AFC" w14:textId="77777777" w:rsidR="0099460E" w:rsidRPr="0099460E" w:rsidRDefault="0099460E" w:rsidP="0099460E">
      <w:pPr>
        <w:pStyle w:val="InhaltVA"/>
        <w:numPr>
          <w:ilvl w:val="0"/>
          <w:numId w:val="2"/>
        </w:numPr>
        <w:rPr>
          <w:szCs w:val="22"/>
        </w:rPr>
      </w:pPr>
      <w:r w:rsidRPr="0099460E">
        <w:rPr>
          <w:szCs w:val="22"/>
        </w:rPr>
        <w:t>Dokumentation</w:t>
      </w:r>
    </w:p>
    <w:p w14:paraId="01BB7A2F" w14:textId="77777777" w:rsidR="0099460E" w:rsidRPr="0099460E" w:rsidRDefault="0099460E" w:rsidP="0099460E">
      <w:pPr>
        <w:pStyle w:val="InhaltVA"/>
        <w:ind w:left="360"/>
        <w:rPr>
          <w:szCs w:val="22"/>
        </w:rPr>
      </w:pPr>
      <w:r w:rsidRPr="0099460E">
        <w:rPr>
          <w:szCs w:val="22"/>
        </w:rPr>
        <w:t>Die Einstufung nach den Empfehlungen von KRINKO/RKI und BfArM wird in den Sieb-/ Setlisten dokumentiert.</w:t>
      </w:r>
    </w:p>
    <w:p w14:paraId="104B1F3D" w14:textId="77777777" w:rsidR="0099460E" w:rsidRPr="0099460E" w:rsidRDefault="0099460E" w:rsidP="0099460E">
      <w:pPr>
        <w:pStyle w:val="InhaltVA"/>
        <w:numPr>
          <w:ilvl w:val="0"/>
          <w:numId w:val="2"/>
        </w:numPr>
        <w:rPr>
          <w:szCs w:val="22"/>
        </w:rPr>
      </w:pPr>
      <w:r w:rsidRPr="0099460E">
        <w:rPr>
          <w:szCs w:val="22"/>
        </w:rPr>
        <w:t>Kontrolle der Wirksamkeit der Maßnahmen</w:t>
      </w:r>
    </w:p>
    <w:p w14:paraId="2CFA298D" w14:textId="477E468A" w:rsidR="0099460E" w:rsidRDefault="0099460E" w:rsidP="0099460E">
      <w:pPr>
        <w:pStyle w:val="InhaltVA"/>
        <w:ind w:left="357"/>
        <w:rPr>
          <w:szCs w:val="22"/>
        </w:rPr>
      </w:pPr>
      <w:r w:rsidRPr="0099460E">
        <w:rPr>
          <w:szCs w:val="22"/>
        </w:rPr>
        <w:t>Die Kontrolle der Wirksamkeit der Maßnahmen erfolgt im Rahmen der Routinemessungen in der AEMP.</w:t>
      </w:r>
    </w:p>
    <w:p w14:paraId="332EBA32" w14:textId="22A9EF7A" w:rsidR="0099460E" w:rsidRDefault="0099460E" w:rsidP="0099460E">
      <w:pPr>
        <w:pStyle w:val="InhaltVA"/>
        <w:rPr>
          <w:szCs w:val="22"/>
        </w:rPr>
      </w:pPr>
    </w:p>
    <w:p w14:paraId="6C54D098" w14:textId="0CD336AE" w:rsidR="0099460E" w:rsidRDefault="0099460E">
      <w:pPr>
        <w:rPr>
          <w:rFonts w:ascii="Times New Roman" w:eastAsia="Times New Roman" w:hAnsi="Times New Roman" w:cs="Times New Roman"/>
          <w:color w:val="000000"/>
          <w:lang w:eastAsia="de-DE"/>
        </w:rPr>
      </w:pPr>
      <w:r>
        <w:br w:type="page"/>
      </w:r>
    </w:p>
    <w:p w14:paraId="1DE57493" w14:textId="06B5EA32" w:rsidR="0099460E" w:rsidRDefault="0099460E" w:rsidP="0099460E">
      <w:pPr>
        <w:pStyle w:val="InhaltVA"/>
        <w:rPr>
          <w:szCs w:val="22"/>
        </w:rPr>
      </w:pPr>
    </w:p>
    <w:p w14:paraId="3F50AC9D" w14:textId="77777777" w:rsidR="0099460E" w:rsidRPr="0099460E" w:rsidRDefault="0099460E" w:rsidP="0099460E">
      <w:pPr>
        <w:pStyle w:val="ArbeitsgangZahlen"/>
        <w:numPr>
          <w:ilvl w:val="0"/>
          <w:numId w:val="0"/>
        </w:numPr>
        <w:rPr>
          <w:b/>
          <w:bCs/>
        </w:rPr>
      </w:pPr>
      <w:r w:rsidRPr="0099460E">
        <w:rPr>
          <w:b/>
          <w:bCs/>
        </w:rPr>
        <w:t>Schematische Darstellung des Risikomanagements</w:t>
      </w:r>
    </w:p>
    <w:p w14:paraId="14FAD41C" w14:textId="77777777" w:rsidR="0099460E" w:rsidRPr="00C30477" w:rsidRDefault="0099460E" w:rsidP="0099460E">
      <w:pPr>
        <w:pStyle w:val="ArbeitsgangZahlen"/>
        <w:numPr>
          <w:ilvl w:val="0"/>
          <w:numId w:val="0"/>
        </w:numPr>
        <w:ind w:left="357" w:hanging="357"/>
      </w:pPr>
    </w:p>
    <w:p w14:paraId="75A7FE2D" w14:textId="77777777" w:rsidR="0099460E" w:rsidRPr="00C30477" w:rsidRDefault="0099460E" w:rsidP="0099460E">
      <w:pPr>
        <w:pStyle w:val="InhaltVA"/>
        <w:jc w:val="center"/>
        <w:rPr>
          <w:szCs w:val="22"/>
        </w:rPr>
      </w:pPr>
      <w:r w:rsidRPr="00C30477">
        <w:rPr>
          <w:szCs w:val="22"/>
        </w:rPr>
        <w:object w:dxaOrig="4420" w:dyaOrig="7992" w14:anchorId="1A941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pt;height:399.6pt" o:ole="">
            <v:imagedata r:id="rId7" o:title=""/>
          </v:shape>
          <o:OLEObject Type="Embed" ProgID="Visio.Drawing.11" ShapeID="_x0000_i1025" DrawAspect="Content" ObjectID="_1704691637" r:id="rId8"/>
        </w:object>
      </w:r>
    </w:p>
    <w:p w14:paraId="48CEF38B" w14:textId="77777777" w:rsidR="0099460E" w:rsidRPr="0099460E" w:rsidRDefault="0099460E" w:rsidP="0099460E">
      <w:pPr>
        <w:pStyle w:val="InhaltVA"/>
        <w:rPr>
          <w:szCs w:val="22"/>
        </w:rPr>
      </w:pPr>
    </w:p>
    <w:p w14:paraId="0BE63BE3" w14:textId="77777777" w:rsidR="0099460E" w:rsidRPr="0099460E" w:rsidRDefault="0099460E" w:rsidP="0099460E">
      <w:pPr>
        <w:pStyle w:val="InhaltVA"/>
        <w:rPr>
          <w:szCs w:val="22"/>
        </w:rPr>
      </w:pPr>
    </w:p>
    <w:sectPr w:rsidR="0099460E" w:rsidRPr="0099460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0FCD" w14:textId="77777777" w:rsidR="005D72F1" w:rsidRDefault="005D72F1" w:rsidP="001313CB">
      <w:pPr>
        <w:spacing w:after="0" w:line="240" w:lineRule="auto"/>
      </w:pPr>
      <w:r>
        <w:separator/>
      </w:r>
    </w:p>
  </w:endnote>
  <w:endnote w:type="continuationSeparator" w:id="0">
    <w:p w14:paraId="45FA785D" w14:textId="77777777" w:rsidR="005D72F1" w:rsidRDefault="005D72F1" w:rsidP="00131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03E97" w14:textId="77777777" w:rsidR="00946675" w:rsidRDefault="009466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067" w:type="dxa"/>
      <w:tblBorders>
        <w:insideH w:val="none" w:sz="0" w:space="0" w:color="auto"/>
        <w:insideV w:val="none" w:sz="0" w:space="0" w:color="auto"/>
      </w:tblBorders>
      <w:tblLayout w:type="fixed"/>
      <w:tblLook w:val="04A0" w:firstRow="1" w:lastRow="0" w:firstColumn="1" w:lastColumn="0" w:noHBand="0" w:noVBand="1"/>
    </w:tblPr>
    <w:tblGrid>
      <w:gridCol w:w="1134"/>
      <w:gridCol w:w="1134"/>
      <w:gridCol w:w="1298"/>
      <w:gridCol w:w="1298"/>
      <w:gridCol w:w="1474"/>
      <w:gridCol w:w="1389"/>
      <w:gridCol w:w="1340"/>
    </w:tblGrid>
    <w:tr w:rsidR="00164C10" w:rsidRPr="00164C10" w14:paraId="13B49EA0" w14:textId="77777777" w:rsidTr="008C0669">
      <w:tc>
        <w:tcPr>
          <w:tcW w:w="1134" w:type="dxa"/>
          <w:tcMar>
            <w:left w:w="28" w:type="dxa"/>
            <w:right w:w="28" w:type="dxa"/>
          </w:tcMar>
        </w:tcPr>
        <w:p w14:paraId="736D3BE0"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pacing w:val="6"/>
              <w:sz w:val="16"/>
              <w:szCs w:val="16"/>
            </w:rPr>
            <w:t>Erstausgabe</w:t>
          </w:r>
          <w:r w:rsidRPr="008C0669">
            <w:rPr>
              <w:rFonts w:ascii="Times New Roman" w:hAnsi="Times New Roman" w:cs="Times New Roman"/>
              <w:spacing w:val="4"/>
              <w:sz w:val="16"/>
              <w:szCs w:val="16"/>
            </w:rPr>
            <w:t>:</w:t>
          </w:r>
        </w:p>
      </w:tc>
      <w:tc>
        <w:tcPr>
          <w:tcW w:w="1134" w:type="dxa"/>
          <w:tcMar>
            <w:left w:w="28" w:type="dxa"/>
            <w:right w:w="28" w:type="dxa"/>
          </w:tcMar>
        </w:tcPr>
        <w:p w14:paraId="409F02FA"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2F41FB60"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11556174"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Datum</w:t>
          </w:r>
        </w:p>
      </w:tc>
      <w:tc>
        <w:tcPr>
          <w:tcW w:w="1474" w:type="dxa"/>
          <w:tcMar>
            <w:left w:w="28" w:type="dxa"/>
            <w:right w:w="28" w:type="dxa"/>
          </w:tcMar>
        </w:tcPr>
        <w:p w14:paraId="13884EDF"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Name</w:t>
          </w:r>
        </w:p>
      </w:tc>
      <w:tc>
        <w:tcPr>
          <w:tcW w:w="2729" w:type="dxa"/>
          <w:gridSpan w:val="2"/>
          <w:vMerge w:val="restart"/>
          <w:tcMar>
            <w:left w:w="28" w:type="dxa"/>
            <w:right w:w="28" w:type="dxa"/>
          </w:tcMar>
        </w:tcPr>
        <w:p w14:paraId="6F468F8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Dok.-Name:</w:t>
          </w:r>
        </w:p>
        <w:p w14:paraId="00FD6266" w14:textId="13AB0E35" w:rsidR="008C0669" w:rsidRPr="008C0669" w:rsidRDefault="008C0669"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FILENAME </w:instrText>
          </w:r>
          <w:r w:rsidRPr="008C0669">
            <w:rPr>
              <w:rFonts w:ascii="Times New Roman" w:hAnsi="Times New Roman" w:cs="Times New Roman"/>
              <w:sz w:val="16"/>
              <w:szCs w:val="16"/>
            </w:rPr>
            <w:fldChar w:fldCharType="separate"/>
          </w:r>
          <w:r w:rsidR="00156D3B">
            <w:rPr>
              <w:rFonts w:ascii="Times New Roman" w:hAnsi="Times New Roman" w:cs="Times New Roman"/>
              <w:noProof/>
              <w:sz w:val="16"/>
              <w:szCs w:val="16"/>
            </w:rPr>
            <w:t>VA_GRU_QMS_06_01_Risikomanagement</w:t>
          </w:r>
          <w:r w:rsidRPr="008C0669">
            <w:rPr>
              <w:rFonts w:ascii="Times New Roman" w:hAnsi="Times New Roman" w:cs="Times New Roman"/>
              <w:sz w:val="16"/>
              <w:szCs w:val="16"/>
            </w:rPr>
            <w:fldChar w:fldCharType="end"/>
          </w:r>
        </w:p>
      </w:tc>
    </w:tr>
    <w:tr w:rsidR="00164C10" w:rsidRPr="00164C10" w14:paraId="5222906F" w14:textId="77777777" w:rsidTr="008C0669">
      <w:tc>
        <w:tcPr>
          <w:tcW w:w="1134" w:type="dxa"/>
          <w:tcMar>
            <w:left w:w="28" w:type="dxa"/>
            <w:right w:w="28" w:type="dxa"/>
          </w:tcMar>
        </w:tcPr>
        <w:p w14:paraId="1336231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Revision:</w:t>
          </w:r>
        </w:p>
      </w:tc>
      <w:tc>
        <w:tcPr>
          <w:tcW w:w="1134" w:type="dxa"/>
          <w:tcMar>
            <w:left w:w="28" w:type="dxa"/>
            <w:right w:w="28" w:type="dxa"/>
          </w:tcMar>
        </w:tcPr>
        <w:p w14:paraId="1EEDDD5A"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01</w:t>
          </w:r>
        </w:p>
      </w:tc>
      <w:tc>
        <w:tcPr>
          <w:tcW w:w="1298" w:type="dxa"/>
          <w:tcMar>
            <w:left w:w="28" w:type="dxa"/>
            <w:right w:w="28" w:type="dxa"/>
          </w:tcMar>
        </w:tcPr>
        <w:p w14:paraId="26517E4E"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Erstellt:</w:t>
          </w:r>
        </w:p>
      </w:tc>
      <w:tc>
        <w:tcPr>
          <w:tcW w:w="1298" w:type="dxa"/>
          <w:tcMar>
            <w:left w:w="28" w:type="dxa"/>
            <w:right w:w="28" w:type="dxa"/>
          </w:tcMar>
        </w:tcPr>
        <w:p w14:paraId="1F6745CD"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23.08.2019</w:t>
          </w:r>
        </w:p>
      </w:tc>
      <w:tc>
        <w:tcPr>
          <w:tcW w:w="1474" w:type="dxa"/>
          <w:tcMar>
            <w:left w:w="28" w:type="dxa"/>
            <w:right w:w="28" w:type="dxa"/>
          </w:tcMar>
        </w:tcPr>
        <w:p w14:paraId="57ED81EE"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Projektteam QM</w:t>
          </w:r>
        </w:p>
      </w:tc>
      <w:tc>
        <w:tcPr>
          <w:tcW w:w="2729" w:type="dxa"/>
          <w:gridSpan w:val="2"/>
          <w:vMerge/>
          <w:tcMar>
            <w:left w:w="28" w:type="dxa"/>
            <w:right w:w="28" w:type="dxa"/>
          </w:tcMar>
        </w:tcPr>
        <w:p w14:paraId="4D9E6F59" w14:textId="77777777" w:rsidR="00164C10" w:rsidRPr="008C0669" w:rsidRDefault="00164C10" w:rsidP="00164C10">
          <w:pPr>
            <w:pStyle w:val="Fuzeile"/>
            <w:rPr>
              <w:rFonts w:ascii="Times New Roman" w:hAnsi="Times New Roman" w:cs="Times New Roman"/>
              <w:sz w:val="16"/>
              <w:szCs w:val="16"/>
            </w:rPr>
          </w:pPr>
        </w:p>
      </w:tc>
    </w:tr>
    <w:tr w:rsidR="00164C10" w:rsidRPr="00164C10" w14:paraId="45161368" w14:textId="77777777" w:rsidTr="008C0669">
      <w:tc>
        <w:tcPr>
          <w:tcW w:w="1134" w:type="dxa"/>
          <w:tcMar>
            <w:left w:w="28" w:type="dxa"/>
            <w:right w:w="28" w:type="dxa"/>
          </w:tcMar>
        </w:tcPr>
        <w:p w14:paraId="130BC9C5" w14:textId="77777777" w:rsidR="00164C10" w:rsidRPr="008C0669" w:rsidRDefault="00164C10" w:rsidP="00164C10">
          <w:pPr>
            <w:pStyle w:val="Fuzeile"/>
            <w:rPr>
              <w:rFonts w:ascii="Times New Roman" w:hAnsi="Times New Roman" w:cs="Times New Roman"/>
              <w:sz w:val="16"/>
              <w:szCs w:val="16"/>
            </w:rPr>
          </w:pPr>
        </w:p>
      </w:tc>
      <w:tc>
        <w:tcPr>
          <w:tcW w:w="1134" w:type="dxa"/>
          <w:tcMar>
            <w:left w:w="28" w:type="dxa"/>
            <w:right w:w="28" w:type="dxa"/>
          </w:tcMar>
        </w:tcPr>
        <w:p w14:paraId="46483D11" w14:textId="77777777" w:rsidR="00164C10" w:rsidRPr="008C0669" w:rsidRDefault="00164C10" w:rsidP="00164C10">
          <w:pPr>
            <w:pStyle w:val="Fuzeile"/>
            <w:rPr>
              <w:rFonts w:ascii="Times New Roman" w:hAnsi="Times New Roman" w:cs="Times New Roman"/>
              <w:sz w:val="16"/>
              <w:szCs w:val="16"/>
            </w:rPr>
          </w:pPr>
        </w:p>
      </w:tc>
      <w:tc>
        <w:tcPr>
          <w:tcW w:w="1298" w:type="dxa"/>
          <w:tcMar>
            <w:left w:w="28" w:type="dxa"/>
            <w:right w:w="28" w:type="dxa"/>
          </w:tcMar>
        </w:tcPr>
        <w:p w14:paraId="5C5B9F59"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Geprüft:</w:t>
          </w:r>
        </w:p>
      </w:tc>
      <w:tc>
        <w:tcPr>
          <w:tcW w:w="1298" w:type="dxa"/>
          <w:tcMar>
            <w:left w:w="28" w:type="dxa"/>
            <w:right w:w="28" w:type="dxa"/>
          </w:tcMar>
        </w:tcPr>
        <w:p w14:paraId="41FD01EF"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223FF72E" w14:textId="77777777" w:rsidR="00164C10" w:rsidRPr="008C0669" w:rsidRDefault="00164C10" w:rsidP="00164C10">
          <w:pPr>
            <w:pStyle w:val="Fuzeile"/>
            <w:rPr>
              <w:rFonts w:ascii="Times New Roman" w:hAnsi="Times New Roman" w:cs="Times New Roman"/>
              <w:sz w:val="16"/>
              <w:szCs w:val="16"/>
            </w:rPr>
          </w:pPr>
        </w:p>
      </w:tc>
      <w:tc>
        <w:tcPr>
          <w:tcW w:w="2729" w:type="dxa"/>
          <w:gridSpan w:val="2"/>
          <w:vMerge/>
          <w:tcMar>
            <w:left w:w="28" w:type="dxa"/>
            <w:right w:w="28" w:type="dxa"/>
          </w:tcMar>
        </w:tcPr>
        <w:p w14:paraId="0AFA72E3" w14:textId="77777777" w:rsidR="00164C10" w:rsidRPr="008C0669" w:rsidRDefault="00164C10" w:rsidP="00164C10">
          <w:pPr>
            <w:pStyle w:val="Fuzeile"/>
            <w:rPr>
              <w:rFonts w:ascii="Times New Roman" w:hAnsi="Times New Roman" w:cs="Times New Roman"/>
              <w:sz w:val="16"/>
              <w:szCs w:val="16"/>
            </w:rPr>
          </w:pPr>
        </w:p>
      </w:tc>
    </w:tr>
    <w:tr w:rsidR="00164C10" w:rsidRPr="00164C10" w14:paraId="5B62931E" w14:textId="77777777" w:rsidTr="008C0669">
      <w:tc>
        <w:tcPr>
          <w:tcW w:w="1134" w:type="dxa"/>
          <w:tcMar>
            <w:left w:w="28" w:type="dxa"/>
            <w:right w:w="28" w:type="dxa"/>
          </w:tcMar>
        </w:tcPr>
        <w:p w14:paraId="7AF3454F"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Stand:</w:t>
          </w:r>
        </w:p>
      </w:tc>
      <w:tc>
        <w:tcPr>
          <w:tcW w:w="1134" w:type="dxa"/>
          <w:tcMar>
            <w:left w:w="28" w:type="dxa"/>
            <w:right w:w="28" w:type="dxa"/>
          </w:tcMar>
        </w:tcPr>
        <w:p w14:paraId="61B6E14E" w14:textId="63EE931D"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SAVEDATE  \@ "dd.MM.yyyy"  \* MERGEFORMAT </w:instrText>
          </w:r>
          <w:r w:rsidRPr="008C0669">
            <w:rPr>
              <w:rFonts w:ascii="Times New Roman" w:hAnsi="Times New Roman" w:cs="Times New Roman"/>
              <w:sz w:val="16"/>
              <w:szCs w:val="16"/>
            </w:rPr>
            <w:fldChar w:fldCharType="separate"/>
          </w:r>
          <w:r w:rsidR="00946675">
            <w:rPr>
              <w:rFonts w:ascii="Times New Roman" w:hAnsi="Times New Roman" w:cs="Times New Roman"/>
              <w:noProof/>
              <w:sz w:val="16"/>
              <w:szCs w:val="16"/>
            </w:rPr>
            <w:t>16.08.2021</w:t>
          </w:r>
          <w:r w:rsidRPr="008C0669">
            <w:rPr>
              <w:rFonts w:ascii="Times New Roman" w:hAnsi="Times New Roman" w:cs="Times New Roman"/>
              <w:sz w:val="16"/>
              <w:szCs w:val="16"/>
            </w:rPr>
            <w:fldChar w:fldCharType="end"/>
          </w:r>
        </w:p>
      </w:tc>
      <w:tc>
        <w:tcPr>
          <w:tcW w:w="1298" w:type="dxa"/>
          <w:tcMar>
            <w:left w:w="28" w:type="dxa"/>
            <w:right w:w="28" w:type="dxa"/>
          </w:tcMar>
        </w:tcPr>
        <w:p w14:paraId="3FEE660C"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Freigegeben:</w:t>
          </w:r>
        </w:p>
      </w:tc>
      <w:tc>
        <w:tcPr>
          <w:tcW w:w="1298" w:type="dxa"/>
          <w:tcMar>
            <w:left w:w="28" w:type="dxa"/>
            <w:right w:w="28" w:type="dxa"/>
          </w:tcMar>
        </w:tcPr>
        <w:p w14:paraId="37CDA5BD" w14:textId="77777777" w:rsidR="00164C10" w:rsidRPr="008C0669" w:rsidRDefault="00164C10" w:rsidP="00164C10">
          <w:pPr>
            <w:pStyle w:val="Fuzeile"/>
            <w:rPr>
              <w:rFonts w:ascii="Times New Roman" w:hAnsi="Times New Roman" w:cs="Times New Roman"/>
              <w:sz w:val="16"/>
              <w:szCs w:val="16"/>
            </w:rPr>
          </w:pPr>
        </w:p>
      </w:tc>
      <w:tc>
        <w:tcPr>
          <w:tcW w:w="1474" w:type="dxa"/>
          <w:tcMar>
            <w:left w:w="28" w:type="dxa"/>
            <w:right w:w="28" w:type="dxa"/>
          </w:tcMar>
        </w:tcPr>
        <w:p w14:paraId="675C1328" w14:textId="77777777" w:rsidR="00164C10" w:rsidRPr="008C0669" w:rsidRDefault="00164C10" w:rsidP="00164C10">
          <w:pPr>
            <w:pStyle w:val="Fuzeile"/>
            <w:rPr>
              <w:rFonts w:ascii="Times New Roman" w:hAnsi="Times New Roman" w:cs="Times New Roman"/>
              <w:sz w:val="16"/>
              <w:szCs w:val="16"/>
            </w:rPr>
          </w:pPr>
        </w:p>
      </w:tc>
      <w:tc>
        <w:tcPr>
          <w:tcW w:w="1389" w:type="dxa"/>
          <w:tcMar>
            <w:left w:w="28" w:type="dxa"/>
            <w:right w:w="28" w:type="dxa"/>
          </w:tcMar>
        </w:tcPr>
        <w:p w14:paraId="5257DB05" w14:textId="77777777" w:rsidR="00164C10" w:rsidRPr="008C0669" w:rsidRDefault="00164C10" w:rsidP="00164C10">
          <w:pPr>
            <w:pStyle w:val="Fuzeile"/>
            <w:rPr>
              <w:rFonts w:ascii="Times New Roman" w:hAnsi="Times New Roman" w:cs="Times New Roman"/>
              <w:sz w:val="16"/>
              <w:szCs w:val="16"/>
            </w:rPr>
          </w:pPr>
          <w:r w:rsidRPr="008C0669">
            <w:rPr>
              <w:rFonts w:ascii="Times New Roman" w:hAnsi="Times New Roman" w:cs="Times New Roman"/>
              <w:sz w:val="16"/>
              <w:szCs w:val="16"/>
            </w:rPr>
            <w:t>Seite:</w:t>
          </w:r>
        </w:p>
      </w:tc>
      <w:tc>
        <w:tcPr>
          <w:tcW w:w="1340" w:type="dxa"/>
          <w:tcMar>
            <w:left w:w="28" w:type="dxa"/>
            <w:right w:w="28" w:type="dxa"/>
          </w:tcMar>
        </w:tcPr>
        <w:p w14:paraId="0F7A2177" w14:textId="77777777" w:rsidR="00164C10" w:rsidRPr="008C0669" w:rsidRDefault="00164C10" w:rsidP="00164C10">
          <w:pPr>
            <w:pStyle w:val="Fuzeile"/>
            <w:jc w:val="right"/>
            <w:rPr>
              <w:rFonts w:ascii="Times New Roman" w:hAnsi="Times New Roman" w:cs="Times New Roman"/>
              <w:sz w:val="16"/>
              <w:szCs w:val="16"/>
            </w:rPr>
          </w:pP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PAGE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r w:rsidRPr="008C0669">
            <w:rPr>
              <w:rFonts w:ascii="Times New Roman" w:hAnsi="Times New Roman" w:cs="Times New Roman"/>
              <w:sz w:val="16"/>
              <w:szCs w:val="16"/>
            </w:rPr>
            <w:t xml:space="preserve"> von </w:t>
          </w:r>
          <w:r w:rsidRPr="008C0669">
            <w:rPr>
              <w:rFonts w:ascii="Times New Roman" w:hAnsi="Times New Roman" w:cs="Times New Roman"/>
              <w:sz w:val="16"/>
              <w:szCs w:val="16"/>
            </w:rPr>
            <w:fldChar w:fldCharType="begin"/>
          </w:r>
          <w:r w:rsidRPr="008C0669">
            <w:rPr>
              <w:rFonts w:ascii="Times New Roman" w:hAnsi="Times New Roman" w:cs="Times New Roman"/>
              <w:sz w:val="16"/>
              <w:szCs w:val="16"/>
            </w:rPr>
            <w:instrText xml:space="preserve"> NUMPAGES </w:instrText>
          </w:r>
          <w:r w:rsidRPr="008C0669">
            <w:rPr>
              <w:rFonts w:ascii="Times New Roman" w:hAnsi="Times New Roman" w:cs="Times New Roman"/>
              <w:sz w:val="16"/>
              <w:szCs w:val="16"/>
            </w:rPr>
            <w:fldChar w:fldCharType="separate"/>
          </w:r>
          <w:r w:rsidRPr="008C0669">
            <w:rPr>
              <w:rFonts w:ascii="Times New Roman" w:hAnsi="Times New Roman" w:cs="Times New Roman"/>
              <w:sz w:val="16"/>
              <w:szCs w:val="16"/>
            </w:rPr>
            <w:t>1</w:t>
          </w:r>
          <w:r w:rsidRPr="008C0669">
            <w:rPr>
              <w:rFonts w:ascii="Times New Roman" w:hAnsi="Times New Roman" w:cs="Times New Roman"/>
              <w:sz w:val="16"/>
              <w:szCs w:val="16"/>
            </w:rPr>
            <w:fldChar w:fldCharType="end"/>
          </w:r>
        </w:p>
      </w:tc>
    </w:tr>
  </w:tbl>
  <w:p w14:paraId="6FB2CB46" w14:textId="77777777" w:rsidR="00164C10" w:rsidRPr="00164C10" w:rsidRDefault="00164C10">
    <w:pPr>
      <w:pStyle w:val="Fuzeile"/>
      <w:rPr>
        <w:rFonts w:ascii="Times New Roman" w:hAnsi="Times New Roman" w:cs="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9B34" w14:textId="77777777" w:rsidR="00946675" w:rsidRDefault="009466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AA077" w14:textId="77777777" w:rsidR="005D72F1" w:rsidRDefault="005D72F1" w:rsidP="001313CB">
      <w:pPr>
        <w:spacing w:after="0" w:line="240" w:lineRule="auto"/>
      </w:pPr>
      <w:r>
        <w:separator/>
      </w:r>
    </w:p>
  </w:footnote>
  <w:footnote w:type="continuationSeparator" w:id="0">
    <w:p w14:paraId="760B92FF" w14:textId="77777777" w:rsidR="005D72F1" w:rsidRDefault="005D72F1" w:rsidP="00131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32D2" w14:textId="77777777" w:rsidR="00946675" w:rsidRDefault="009466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Layout w:type="fixed"/>
      <w:tblLook w:val="04A0" w:firstRow="1" w:lastRow="0" w:firstColumn="1" w:lastColumn="0" w:noHBand="0" w:noVBand="1"/>
    </w:tblPr>
    <w:tblGrid>
      <w:gridCol w:w="2409"/>
      <w:gridCol w:w="4252"/>
      <w:gridCol w:w="2409"/>
    </w:tblGrid>
    <w:tr w:rsidR="001313CB" w14:paraId="61B822EA" w14:textId="77777777" w:rsidTr="00164C10">
      <w:trPr>
        <w:trHeight w:val="850"/>
      </w:trPr>
      <w:tc>
        <w:tcPr>
          <w:tcW w:w="2409" w:type="dxa"/>
          <w:vMerge w:val="restart"/>
        </w:tcPr>
        <w:p w14:paraId="6AAA4BBA" w14:textId="35405CEF" w:rsidR="001313CB" w:rsidRDefault="00946675" w:rsidP="00946675">
          <w:pPr>
            <w:pStyle w:val="Kopfzeile"/>
            <w:jc w:val="center"/>
            <w:rPr>
              <w:rFonts w:ascii="Times New Roman" w:hAnsi="Times New Roman" w:cs="Times New Roman"/>
            </w:rPr>
          </w:pPr>
          <w:r>
            <w:rPr>
              <w:noProof/>
            </w:rPr>
            <w:drawing>
              <wp:inline distT="0" distB="0" distL="0" distR="0" wp14:anchorId="51065F8B" wp14:editId="7C8C4124">
                <wp:extent cx="1259840" cy="92456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1"/>
                        <a:stretch>
                          <a:fillRect/>
                        </a:stretch>
                      </pic:blipFill>
                      <pic:spPr>
                        <a:xfrm>
                          <a:off x="0" y="0"/>
                          <a:ext cx="1259840" cy="924560"/>
                        </a:xfrm>
                        <a:prstGeom prst="rect">
                          <a:avLst/>
                        </a:prstGeom>
                      </pic:spPr>
                    </pic:pic>
                  </a:graphicData>
                </a:graphic>
              </wp:inline>
            </w:drawing>
          </w:r>
        </w:p>
      </w:tc>
      <w:tc>
        <w:tcPr>
          <w:tcW w:w="4252" w:type="dxa"/>
        </w:tcPr>
        <w:p w14:paraId="222800C3" w14:textId="77777777" w:rsidR="001313CB" w:rsidRPr="001313CB" w:rsidRDefault="001313CB" w:rsidP="001313CB">
          <w:pPr>
            <w:pStyle w:val="berschrift1"/>
            <w:jc w:val="center"/>
            <w:outlineLvl w:val="0"/>
            <w:rPr>
              <w:rFonts w:ascii="Times New Roman" w:hAnsi="Times New Roman"/>
              <w:b w:val="0"/>
              <w:bCs/>
              <w:sz w:val="22"/>
            </w:rPr>
          </w:pPr>
          <w:r w:rsidRPr="001313CB">
            <w:rPr>
              <w:rFonts w:ascii="Times New Roman" w:hAnsi="Times New Roman"/>
              <w:b w:val="0"/>
              <w:bCs/>
              <w:sz w:val="22"/>
            </w:rPr>
            <w:t>Qualitätsmanagementhandbuch</w:t>
          </w:r>
        </w:p>
        <w:p w14:paraId="73B2106E" w14:textId="77777777" w:rsidR="001313CB" w:rsidRPr="001313CB" w:rsidRDefault="001313CB" w:rsidP="001313CB">
          <w:pPr>
            <w:tabs>
              <w:tab w:val="left" w:pos="600"/>
              <w:tab w:val="left" w:pos="643"/>
              <w:tab w:val="center" w:pos="2056"/>
            </w:tabs>
            <w:jc w:val="center"/>
            <w:rPr>
              <w:rFonts w:ascii="Times New Roman" w:hAnsi="Times New Roman" w:cs="Times New Roman"/>
            </w:rPr>
          </w:pPr>
          <w:r w:rsidRPr="001313CB">
            <w:rPr>
              <w:rFonts w:ascii="Times New Roman" w:hAnsi="Times New Roman" w:cs="Times New Roman"/>
            </w:rPr>
            <w:t>Sterilisationsmodul EinsLaz 72/180</w:t>
          </w:r>
        </w:p>
        <w:p w14:paraId="112D32C4" w14:textId="77777777" w:rsidR="001313CB" w:rsidRPr="001313CB" w:rsidRDefault="001313CB" w:rsidP="001313CB">
          <w:pPr>
            <w:pStyle w:val="Kopfzeile"/>
            <w:jc w:val="center"/>
            <w:rPr>
              <w:rFonts w:ascii="Times New Roman" w:hAnsi="Times New Roman" w:cs="Times New Roman"/>
            </w:rPr>
          </w:pPr>
        </w:p>
      </w:tc>
      <w:tc>
        <w:tcPr>
          <w:tcW w:w="2409" w:type="dxa"/>
          <w:vMerge w:val="restart"/>
        </w:tcPr>
        <w:p w14:paraId="0E0144C6" w14:textId="1342D66F" w:rsidR="001313CB" w:rsidRDefault="0099460E" w:rsidP="001313CB">
          <w:pPr>
            <w:pStyle w:val="Kopfzeile"/>
            <w:jc w:val="right"/>
            <w:rPr>
              <w:rFonts w:ascii="Times New Roman" w:hAnsi="Times New Roman" w:cs="Times New Roman"/>
            </w:rPr>
          </w:pPr>
          <w:r>
            <w:rPr>
              <w:rFonts w:ascii="Times New Roman" w:hAnsi="Times New Roman"/>
              <w:b/>
            </w:rPr>
            <w:t>VA</w:t>
          </w:r>
          <w:r w:rsidR="001313CB">
            <w:rPr>
              <w:rFonts w:ascii="Times New Roman" w:hAnsi="Times New Roman"/>
              <w:b/>
            </w:rPr>
            <w:t>_GRU_QMS</w:t>
          </w:r>
          <w:r w:rsidR="001313CB" w:rsidRPr="00581B99">
            <w:rPr>
              <w:rFonts w:ascii="Times New Roman" w:hAnsi="Times New Roman"/>
              <w:b/>
            </w:rPr>
            <w:t>_0</w:t>
          </w:r>
          <w:r>
            <w:rPr>
              <w:rFonts w:ascii="Times New Roman" w:hAnsi="Times New Roman"/>
              <w:b/>
            </w:rPr>
            <w:t>6</w:t>
          </w:r>
        </w:p>
      </w:tc>
    </w:tr>
    <w:tr w:rsidR="001313CB" w14:paraId="266665EC" w14:textId="77777777" w:rsidTr="00164C10">
      <w:tc>
        <w:tcPr>
          <w:tcW w:w="2409" w:type="dxa"/>
          <w:vMerge/>
        </w:tcPr>
        <w:p w14:paraId="702053AE" w14:textId="77777777" w:rsidR="001313CB" w:rsidRDefault="001313CB" w:rsidP="001313CB">
          <w:pPr>
            <w:pStyle w:val="Kopfzeile"/>
            <w:jc w:val="center"/>
            <w:rPr>
              <w:rFonts w:ascii="Times New Roman" w:hAnsi="Times New Roman" w:cs="Times New Roman"/>
            </w:rPr>
          </w:pPr>
        </w:p>
      </w:tc>
      <w:tc>
        <w:tcPr>
          <w:tcW w:w="4252" w:type="dxa"/>
        </w:tcPr>
        <w:p w14:paraId="233730E6" w14:textId="77777777" w:rsidR="001313CB" w:rsidRPr="001313CB" w:rsidRDefault="001313CB" w:rsidP="001313CB">
          <w:pPr>
            <w:pStyle w:val="berschrift1"/>
            <w:jc w:val="center"/>
            <w:outlineLvl w:val="0"/>
            <w:rPr>
              <w:rFonts w:ascii="Times New Roman" w:hAnsi="Times New Roman"/>
              <w:sz w:val="22"/>
            </w:rPr>
          </w:pPr>
          <w:r w:rsidRPr="001313CB">
            <w:rPr>
              <w:rFonts w:ascii="Times New Roman" w:hAnsi="Times New Roman"/>
              <w:sz w:val="22"/>
            </w:rPr>
            <w:t>Verfahrensanweisung</w:t>
          </w:r>
        </w:p>
        <w:p w14:paraId="175BB69B"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347923FD" w14:textId="77777777" w:rsidR="001313CB" w:rsidRDefault="001313CB" w:rsidP="001313CB">
          <w:pPr>
            <w:pStyle w:val="Kopfzeile"/>
            <w:jc w:val="center"/>
            <w:rPr>
              <w:rFonts w:ascii="Times New Roman" w:hAnsi="Times New Roman" w:cs="Times New Roman"/>
            </w:rPr>
          </w:pPr>
        </w:p>
      </w:tc>
    </w:tr>
    <w:tr w:rsidR="001313CB" w14:paraId="3BD3F0C4" w14:textId="77777777" w:rsidTr="00164C10">
      <w:tc>
        <w:tcPr>
          <w:tcW w:w="2409" w:type="dxa"/>
          <w:vMerge/>
        </w:tcPr>
        <w:p w14:paraId="4160CD60" w14:textId="77777777" w:rsidR="001313CB" w:rsidRDefault="001313CB" w:rsidP="001313CB">
          <w:pPr>
            <w:pStyle w:val="Kopfzeile"/>
            <w:jc w:val="center"/>
            <w:rPr>
              <w:rFonts w:ascii="Times New Roman" w:hAnsi="Times New Roman" w:cs="Times New Roman"/>
            </w:rPr>
          </w:pPr>
        </w:p>
      </w:tc>
      <w:tc>
        <w:tcPr>
          <w:tcW w:w="4252" w:type="dxa"/>
        </w:tcPr>
        <w:p w14:paraId="39B3B005" w14:textId="7B7D1497" w:rsidR="001313CB" w:rsidRPr="001313CB" w:rsidRDefault="0099460E" w:rsidP="001313CB">
          <w:pPr>
            <w:pStyle w:val="Kopfzeile"/>
            <w:jc w:val="center"/>
            <w:rPr>
              <w:rFonts w:ascii="Times New Roman" w:hAnsi="Times New Roman" w:cs="Times New Roman"/>
              <w:b/>
            </w:rPr>
          </w:pPr>
          <w:r>
            <w:rPr>
              <w:rFonts w:ascii="Times New Roman" w:hAnsi="Times New Roman" w:cs="Times New Roman"/>
              <w:b/>
            </w:rPr>
            <w:t>Risikomanagement</w:t>
          </w:r>
        </w:p>
        <w:p w14:paraId="3D7488FB" w14:textId="77777777" w:rsidR="001313CB" w:rsidRPr="001313CB" w:rsidRDefault="001313CB" w:rsidP="001313CB">
          <w:pPr>
            <w:pStyle w:val="Kopfzeile"/>
            <w:jc w:val="center"/>
            <w:rPr>
              <w:rFonts w:ascii="Times New Roman" w:hAnsi="Times New Roman" w:cs="Times New Roman"/>
            </w:rPr>
          </w:pPr>
        </w:p>
      </w:tc>
      <w:tc>
        <w:tcPr>
          <w:tcW w:w="2409" w:type="dxa"/>
          <w:vMerge/>
        </w:tcPr>
        <w:p w14:paraId="3AB7E4DE" w14:textId="77777777" w:rsidR="001313CB" w:rsidRDefault="001313CB" w:rsidP="001313CB">
          <w:pPr>
            <w:pStyle w:val="Kopfzeile"/>
            <w:jc w:val="center"/>
            <w:rPr>
              <w:rFonts w:ascii="Times New Roman" w:hAnsi="Times New Roman" w:cs="Times New Roman"/>
            </w:rPr>
          </w:pPr>
        </w:p>
      </w:tc>
    </w:tr>
  </w:tbl>
  <w:p w14:paraId="4CC85A0E" w14:textId="77777777" w:rsidR="001313CB" w:rsidRPr="001313CB" w:rsidRDefault="001313CB">
    <w:pPr>
      <w:pStyle w:val="Kopfzeile"/>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CB03" w14:textId="77777777" w:rsidR="00946675" w:rsidRDefault="009466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50821"/>
    <w:multiLevelType w:val="hybridMultilevel"/>
    <w:tmpl w:val="0ABC481A"/>
    <w:lvl w:ilvl="0" w:tplc="8E4C98C4">
      <w:start w:val="1"/>
      <w:numFmt w:val="decimal"/>
      <w:pStyle w:val="ArbeitsgangZahlen"/>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E71ECF"/>
    <w:multiLevelType w:val="hybridMultilevel"/>
    <w:tmpl w:val="415CF1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0E"/>
    <w:rsid w:val="001313CB"/>
    <w:rsid w:val="00156D3B"/>
    <w:rsid w:val="00164C10"/>
    <w:rsid w:val="001A7A8A"/>
    <w:rsid w:val="001F63CF"/>
    <w:rsid w:val="003016C3"/>
    <w:rsid w:val="003846F1"/>
    <w:rsid w:val="0039709C"/>
    <w:rsid w:val="005D72F1"/>
    <w:rsid w:val="00616993"/>
    <w:rsid w:val="00626530"/>
    <w:rsid w:val="006B1039"/>
    <w:rsid w:val="00742D72"/>
    <w:rsid w:val="00845BCE"/>
    <w:rsid w:val="008C0669"/>
    <w:rsid w:val="00946675"/>
    <w:rsid w:val="0099460E"/>
    <w:rsid w:val="009C32EE"/>
    <w:rsid w:val="009E77EE"/>
    <w:rsid w:val="00A935AB"/>
    <w:rsid w:val="00D45E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2C12C"/>
  <w15:chartTrackingRefBased/>
  <w15:docId w15:val="{1F3CC263-67DA-4F49-827C-29ECC988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313CB"/>
    <w:pPr>
      <w:keepNext/>
      <w:spacing w:after="0" w:line="240" w:lineRule="auto"/>
      <w:outlineLvl w:val="0"/>
    </w:pPr>
    <w:rPr>
      <w:rFonts w:ascii="Arial" w:eastAsia="Times New Roman" w:hAnsi="Arial" w:cs="Times New Roman"/>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13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13CB"/>
  </w:style>
  <w:style w:type="paragraph" w:styleId="Fuzeile">
    <w:name w:val="footer"/>
    <w:basedOn w:val="Standard"/>
    <w:link w:val="FuzeileZchn"/>
    <w:uiPriority w:val="99"/>
    <w:unhideWhenUsed/>
    <w:rsid w:val="001313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13CB"/>
  </w:style>
  <w:style w:type="table" w:styleId="Tabellenraster">
    <w:name w:val="Table Grid"/>
    <w:basedOn w:val="NormaleTabelle"/>
    <w:uiPriority w:val="39"/>
    <w:rsid w:val="0013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1313CB"/>
    <w:rPr>
      <w:rFonts w:ascii="Arial" w:eastAsia="Times New Roman" w:hAnsi="Arial" w:cs="Times New Roman"/>
      <w:b/>
      <w:sz w:val="24"/>
      <w:szCs w:val="20"/>
      <w:lang w:eastAsia="de-DE"/>
    </w:rPr>
  </w:style>
  <w:style w:type="paragraph" w:customStyle="1" w:styleId="InhaltVA">
    <w:name w:val="Inhalt VA"/>
    <w:basedOn w:val="Standard"/>
    <w:rsid w:val="0099460E"/>
    <w:pPr>
      <w:spacing w:after="0" w:line="240" w:lineRule="auto"/>
      <w:jc w:val="both"/>
    </w:pPr>
    <w:rPr>
      <w:rFonts w:ascii="Times New Roman" w:eastAsia="Times New Roman" w:hAnsi="Times New Roman" w:cs="Times New Roman"/>
      <w:color w:val="000000"/>
      <w:szCs w:val="20"/>
      <w:lang w:eastAsia="de-DE"/>
    </w:rPr>
  </w:style>
  <w:style w:type="character" w:customStyle="1" w:styleId="berschriftVA">
    <w:name w:val="Überschrift VA"/>
    <w:rsid w:val="0099460E"/>
    <w:rPr>
      <w:b/>
      <w:bCs/>
      <w:sz w:val="22"/>
      <w:u w:val="single"/>
    </w:rPr>
  </w:style>
  <w:style w:type="paragraph" w:customStyle="1" w:styleId="FormatvorlageAufgezhlt2">
    <w:name w:val="Formatvorlage Aufgezählt2"/>
    <w:basedOn w:val="Standard"/>
    <w:rsid w:val="0099460E"/>
    <w:pPr>
      <w:numPr>
        <w:ilvl w:val="1"/>
        <w:numId w:val="1"/>
      </w:numPr>
      <w:tabs>
        <w:tab w:val="clear" w:pos="1134"/>
        <w:tab w:val="num" w:pos="851"/>
      </w:tabs>
      <w:spacing w:after="0" w:line="240" w:lineRule="auto"/>
      <w:ind w:left="851" w:hanging="494"/>
    </w:pPr>
    <w:rPr>
      <w:rFonts w:ascii="Times New Roman" w:eastAsia="Times New Roman" w:hAnsi="Times New Roman" w:cs="Times New Roman"/>
      <w:szCs w:val="20"/>
      <w:lang w:eastAsia="de-DE"/>
    </w:rPr>
  </w:style>
  <w:style w:type="paragraph" w:customStyle="1" w:styleId="ArbeitsgangZahlen">
    <w:name w:val="Arbeitsgang Zahlen"/>
    <w:basedOn w:val="Standard"/>
    <w:rsid w:val="0099460E"/>
    <w:pPr>
      <w:numPr>
        <w:numId w:val="3"/>
      </w:numPr>
      <w:spacing w:after="0" w:line="240" w:lineRule="auto"/>
    </w:pPr>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ld.moll\Documents\Benutzerdefinierte%20Office-Vorlagen\Verfahrensanweis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78350-01F1-43EF-8148-922BEA2A0523}"/>
</file>

<file path=customXml/itemProps2.xml><?xml version="1.0" encoding="utf-8"?>
<ds:datastoreItem xmlns:ds="http://schemas.openxmlformats.org/officeDocument/2006/customXml" ds:itemID="{C836A19C-AAC8-45CB-9060-253A7217BC8B}"/>
</file>

<file path=docProps/app.xml><?xml version="1.0" encoding="utf-8"?>
<Properties xmlns="http://schemas.openxmlformats.org/officeDocument/2006/extended-properties" xmlns:vt="http://schemas.openxmlformats.org/officeDocument/2006/docPropsVTypes">
  <Template>Verfahrensanweisung</Template>
  <TotalTime>0</TotalTime>
  <Pages>1</Pages>
  <Words>234</Words>
  <Characters>1479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harald.moll@hp-med.com; Primara</dc:creator>
  <cp:keywords/>
  <dc:description/>
  <cp:lastModifiedBy>Harald Moll</cp:lastModifiedBy>
  <cp:revision>6</cp:revision>
  <dcterms:created xsi:type="dcterms:W3CDTF">2020-12-10T11:10:00Z</dcterms:created>
  <dcterms:modified xsi:type="dcterms:W3CDTF">2022-01-26T07:41:00Z</dcterms:modified>
</cp:coreProperties>
</file>