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9071" w:type="dxa"/>
        <w:tblLayout w:type="fixed"/>
        <w:tblLook w:val="04A0" w:firstRow="1" w:lastRow="0" w:firstColumn="1" w:lastColumn="0" w:noHBand="0" w:noVBand="1"/>
      </w:tblPr>
      <w:tblGrid>
        <w:gridCol w:w="3685"/>
        <w:gridCol w:w="5386"/>
      </w:tblGrid>
      <w:tr w:rsidR="001313CB" w14:paraId="20588BAD" w14:textId="77777777" w:rsidTr="00E77FB2">
        <w:tc>
          <w:tcPr>
            <w:tcW w:w="9071" w:type="dxa"/>
            <w:gridSpan w:val="2"/>
          </w:tcPr>
          <w:p w14:paraId="71A349F1" w14:textId="77777777" w:rsidR="001313CB" w:rsidRPr="001313CB" w:rsidRDefault="001313CB" w:rsidP="001313CB">
            <w:pPr>
              <w:jc w:val="center"/>
            </w:pPr>
            <w:r w:rsidRPr="001313CB">
              <w:rPr>
                <w:b/>
                <w:szCs w:val="24"/>
              </w:rPr>
              <w:t>Stammblatt</w:t>
            </w:r>
          </w:p>
        </w:tc>
      </w:tr>
      <w:tr w:rsidR="00E77FB2" w14:paraId="5E981CF5" w14:textId="77777777" w:rsidTr="00E77FB2">
        <w:tc>
          <w:tcPr>
            <w:tcW w:w="3685" w:type="dxa"/>
            <w:vAlign w:val="center"/>
          </w:tcPr>
          <w:p w14:paraId="7FF33FB0" w14:textId="77777777" w:rsidR="00E77FB2" w:rsidRPr="001313CB" w:rsidRDefault="00E77FB2" w:rsidP="00E77FB2">
            <w:r w:rsidRPr="001313CB">
              <w:rPr>
                <w:b/>
                <w:szCs w:val="24"/>
              </w:rPr>
              <w:t>Ziel</w:t>
            </w:r>
          </w:p>
        </w:tc>
        <w:tc>
          <w:tcPr>
            <w:tcW w:w="5386" w:type="dxa"/>
          </w:tcPr>
          <w:p w14:paraId="31DF4CF5" w14:textId="03EC4A40" w:rsidR="00E77FB2" w:rsidRPr="00E77FB2" w:rsidRDefault="00E77FB2" w:rsidP="00E77FB2">
            <w:r w:rsidRPr="00E77FB2">
              <w:t>Vorgehensweise bei der maschinellen Aufbereitung von MP</w:t>
            </w:r>
          </w:p>
        </w:tc>
      </w:tr>
      <w:tr w:rsidR="00E77FB2" w14:paraId="6D0470D4" w14:textId="77777777" w:rsidTr="00E77FB2">
        <w:tc>
          <w:tcPr>
            <w:tcW w:w="3685" w:type="dxa"/>
            <w:vAlign w:val="center"/>
          </w:tcPr>
          <w:p w14:paraId="0C9BC790" w14:textId="77777777" w:rsidR="00E77FB2" w:rsidRPr="001313CB" w:rsidRDefault="00E77FB2" w:rsidP="00E77FB2">
            <w:r w:rsidRPr="001313CB">
              <w:rPr>
                <w:b/>
                <w:szCs w:val="24"/>
              </w:rPr>
              <w:t>Anwendungsbereich</w:t>
            </w:r>
          </w:p>
        </w:tc>
        <w:tc>
          <w:tcPr>
            <w:tcW w:w="5386" w:type="dxa"/>
          </w:tcPr>
          <w:p w14:paraId="4F4389A5" w14:textId="1AE9254F" w:rsidR="00E77FB2" w:rsidRPr="00E77FB2" w:rsidRDefault="00E77FB2" w:rsidP="00E77FB2">
            <w:r w:rsidRPr="00E77FB2">
              <w:t>AEMP EL – RuD-Bereich</w:t>
            </w:r>
          </w:p>
        </w:tc>
      </w:tr>
      <w:tr w:rsidR="00E77FB2" w14:paraId="0C2AA878" w14:textId="77777777" w:rsidTr="00E77FB2">
        <w:tc>
          <w:tcPr>
            <w:tcW w:w="3685" w:type="dxa"/>
            <w:vAlign w:val="center"/>
          </w:tcPr>
          <w:p w14:paraId="5E6978D0" w14:textId="77777777" w:rsidR="00E77FB2" w:rsidRPr="001313CB" w:rsidRDefault="00E77FB2" w:rsidP="00E77FB2">
            <w:r w:rsidRPr="001313CB">
              <w:rPr>
                <w:b/>
                <w:szCs w:val="24"/>
              </w:rPr>
              <w:t>Zuständigkeit/Verantwortlichkeit</w:t>
            </w:r>
          </w:p>
        </w:tc>
        <w:tc>
          <w:tcPr>
            <w:tcW w:w="5386" w:type="dxa"/>
          </w:tcPr>
          <w:p w14:paraId="0F4CB0E3" w14:textId="42E46655" w:rsidR="00E77FB2" w:rsidRPr="00E77FB2" w:rsidRDefault="00E77FB2" w:rsidP="00E77FB2">
            <w:r w:rsidRPr="00E77FB2">
              <w:t>TS</w:t>
            </w:r>
            <w:r>
              <w:t>A</w:t>
            </w:r>
            <w:r w:rsidRPr="00E77FB2">
              <w:t>/Leitung AEMP</w:t>
            </w:r>
          </w:p>
        </w:tc>
      </w:tr>
      <w:tr w:rsidR="00E77FB2" w14:paraId="34EFFCBA" w14:textId="77777777" w:rsidTr="00E77FB2">
        <w:tc>
          <w:tcPr>
            <w:tcW w:w="3685" w:type="dxa"/>
            <w:vAlign w:val="center"/>
          </w:tcPr>
          <w:p w14:paraId="5B8DB951" w14:textId="77777777" w:rsidR="00E77FB2" w:rsidRPr="001313CB" w:rsidRDefault="00E77FB2" w:rsidP="00E77FB2">
            <w:r w:rsidRPr="001313CB">
              <w:rPr>
                <w:b/>
                <w:szCs w:val="24"/>
              </w:rPr>
              <w:t>Mitgeltende Dokumente</w:t>
            </w:r>
          </w:p>
        </w:tc>
        <w:tc>
          <w:tcPr>
            <w:tcW w:w="5386" w:type="dxa"/>
          </w:tcPr>
          <w:p w14:paraId="787909BC" w14:textId="77777777" w:rsidR="00E77FB2" w:rsidRPr="00E77FB2" w:rsidRDefault="00E77FB2" w:rsidP="00E77FB2">
            <w:pPr>
              <w:pStyle w:val="InhaltVA"/>
              <w:rPr>
                <w:szCs w:val="22"/>
              </w:rPr>
            </w:pPr>
            <w:proofErr w:type="spellStart"/>
            <w:r w:rsidRPr="00E77FB2">
              <w:rPr>
                <w:szCs w:val="22"/>
              </w:rPr>
              <w:t>Leitline_Validierung_Maschinelle_RuD</w:t>
            </w:r>
            <w:proofErr w:type="spellEnd"/>
          </w:p>
          <w:p w14:paraId="5677674F" w14:textId="77777777" w:rsidR="00E77FB2" w:rsidRPr="00E77FB2" w:rsidRDefault="00E77FB2" w:rsidP="00E77FB2">
            <w:pPr>
              <w:pStyle w:val="InhaltVA"/>
              <w:rPr>
                <w:szCs w:val="22"/>
              </w:rPr>
            </w:pPr>
            <w:r w:rsidRPr="00E77FB2">
              <w:rPr>
                <w:szCs w:val="22"/>
              </w:rPr>
              <w:t>SAA_GRU_HYG_01_01_Personalhygiene</w:t>
            </w:r>
          </w:p>
          <w:p w14:paraId="3DC31ED6" w14:textId="77777777" w:rsidR="00E77FB2" w:rsidRPr="00E77FB2" w:rsidRDefault="00E77FB2" w:rsidP="00E77FB2">
            <w:pPr>
              <w:pStyle w:val="InhaltVA"/>
              <w:rPr>
                <w:szCs w:val="22"/>
              </w:rPr>
            </w:pPr>
            <w:r w:rsidRPr="00E77FB2">
              <w:rPr>
                <w:szCs w:val="22"/>
              </w:rPr>
              <w:t>SAA_KPR_TSM_VVT_01_01_Vorbereitung_Vorreinigung_Transp</w:t>
            </w:r>
          </w:p>
          <w:p w14:paraId="2963AE2A" w14:textId="77777777" w:rsidR="00E77FB2" w:rsidRDefault="00E77FB2" w:rsidP="00E77FB2">
            <w:r w:rsidRPr="00E77FB2">
              <w:t>SAA_KPR_TSM_RED_02_01_Masch_RuD_Chir_Instr_allg</w:t>
            </w:r>
          </w:p>
          <w:p w14:paraId="7FD905CE" w14:textId="77777777" w:rsidR="00E77FB2" w:rsidRDefault="00E77FB2" w:rsidP="00E77FB2">
            <w:r w:rsidRPr="00E77FB2">
              <w:t>SAA_KPR_TSM_RED_03_01_Masch_RuD_AN</w:t>
            </w:r>
          </w:p>
          <w:p w14:paraId="2FDC8189" w14:textId="77777777" w:rsidR="00E77FB2" w:rsidRDefault="00E77FB2" w:rsidP="00E77FB2">
            <w:r w:rsidRPr="00E77FB2">
              <w:t>SAA_KPR_TSM_RED_04_01_Masch_RuD_Osteosynthese</w:t>
            </w:r>
          </w:p>
          <w:p w14:paraId="1BF0676A" w14:textId="77777777" w:rsidR="00E77FB2" w:rsidRDefault="00E77FB2" w:rsidP="00E77FB2">
            <w:r w:rsidRPr="00E77FB2">
              <w:t>SAA_KPR_TSM_RED_05_01_Masch_RuD_MIC</w:t>
            </w:r>
          </w:p>
          <w:p w14:paraId="6FAFB63F" w14:textId="77777777" w:rsidR="00E77FB2" w:rsidRDefault="00E77FB2" w:rsidP="00E77FB2">
            <w:r w:rsidRPr="00E77FB2">
              <w:t>SAA_KPR_TSM_RED_06_01_Masch_RuD_OP-Schuhe</w:t>
            </w:r>
          </w:p>
          <w:p w14:paraId="565BCDE8" w14:textId="77777777" w:rsidR="00E77FB2" w:rsidRDefault="00E77FB2" w:rsidP="00E77FB2">
            <w:r w:rsidRPr="00E77FB2">
              <w:t>SAA_KPR_TSM_RED_07_01_Masch_RuD_Sterilcontainer</w:t>
            </w:r>
          </w:p>
          <w:p w14:paraId="01E22B1E" w14:textId="77777777" w:rsidR="00E77FB2" w:rsidRDefault="00E77FB2" w:rsidP="00E77FB2">
            <w:r w:rsidRPr="00E77FB2">
              <w:t>SAA_KPR_TSM_RED_08_01_Masch_RuD_Acculan</w:t>
            </w:r>
          </w:p>
          <w:p w14:paraId="7166B4E0" w14:textId="77777777" w:rsidR="00E77FB2" w:rsidRDefault="00E77FB2" w:rsidP="00E77FB2">
            <w:r w:rsidRPr="00E77FB2">
              <w:t>SAA_KPR_TSM_RED_09_01_Programmende_RuD_RDG</w:t>
            </w:r>
          </w:p>
          <w:p w14:paraId="670B3B54" w14:textId="0F86B532" w:rsidR="00E77FB2" w:rsidRPr="00E77FB2" w:rsidRDefault="00E77FB2" w:rsidP="00E77FB2">
            <w:r w:rsidRPr="00E77FB2">
              <w:t>SAA_KPR_TSM_RED_10_01_Transfer_zum_RuD-Bereich</w:t>
            </w:r>
          </w:p>
        </w:tc>
      </w:tr>
    </w:tbl>
    <w:p w14:paraId="75BF4508" w14:textId="7275BA01" w:rsidR="00F65A1D" w:rsidRDefault="007F5C75" w:rsidP="001313CB">
      <w:pPr>
        <w:spacing w:after="0" w:line="240" w:lineRule="auto"/>
      </w:pPr>
    </w:p>
    <w:p w14:paraId="296DABD4" w14:textId="77777777" w:rsidR="00E77FB2" w:rsidRDefault="00E77FB2" w:rsidP="001313CB">
      <w:pPr>
        <w:spacing w:after="0" w:line="240" w:lineRule="auto"/>
      </w:pPr>
    </w:p>
    <w:p w14:paraId="45C83F77" w14:textId="6F65BA68" w:rsidR="001313CB" w:rsidRDefault="001313CB" w:rsidP="001313CB">
      <w:pPr>
        <w:spacing w:after="0" w:line="240" w:lineRule="auto"/>
        <w:rPr>
          <w:b/>
        </w:rPr>
      </w:pPr>
      <w:r w:rsidRPr="001313CB">
        <w:rPr>
          <w:b/>
        </w:rPr>
        <w:t>Prozessbeschreibung</w:t>
      </w:r>
    </w:p>
    <w:p w14:paraId="2CAD122E" w14:textId="069F45DB" w:rsidR="00E77FB2" w:rsidRDefault="00E77FB2" w:rsidP="001313CB">
      <w:pPr>
        <w:spacing w:after="0" w:line="240" w:lineRule="auto"/>
        <w:rPr>
          <w:b/>
        </w:rPr>
      </w:pPr>
    </w:p>
    <w:p w14:paraId="1288AE68" w14:textId="77777777" w:rsidR="00E77FB2" w:rsidRDefault="00E77FB2" w:rsidP="00E77FB2">
      <w:pPr>
        <w:pStyle w:val="InhaltVA"/>
      </w:pPr>
      <w:r>
        <w:t>Die im Rahmen der nach der KRINKO-/BfArM-Empfehlung „Anforderung an die Hygiene bei der Aufbereitung von MP“ durchgeführte Risikobewertung und der daraus resultierenden Einteilung der MP in die Klasse semikritisch bzw. kritisch, erfordert grundsätzlich eine maschinelle Reinigung und Desinfektion.</w:t>
      </w:r>
    </w:p>
    <w:p w14:paraId="20978421" w14:textId="77777777" w:rsidR="00E77FB2" w:rsidRDefault="00E77FB2" w:rsidP="00E77FB2">
      <w:pPr>
        <w:pStyle w:val="InhaltVA"/>
      </w:pPr>
    </w:p>
    <w:p w14:paraId="6FB4B03D" w14:textId="5F73DC3C" w:rsidR="00E77FB2" w:rsidRDefault="00E77FB2" w:rsidP="00E77FB2">
      <w:pPr>
        <w:pStyle w:val="InhaltVA"/>
      </w:pPr>
      <w:r>
        <w:t>Die maschinelle Aufbereitung der MP erfolgt nach einer eventuell notwendigen Vorreinigung im RDG. Die aufzubereitenden MP müssen thermostabil sein, d.h. sie müssen für die bei diesem Verfahren eingesetzten hohen Temperaturen, im Rahmen der thermischen Desinfektion, geeignet sein. Ebenso ist darauf zu achten, dass der Hersteller der MP die Eignung für die Reinigung im alkalischen Milieu bestätigt.</w:t>
      </w:r>
    </w:p>
    <w:p w14:paraId="01DA1497" w14:textId="634F1C02" w:rsidR="00E77FB2" w:rsidRDefault="00E77FB2" w:rsidP="00E77FB2">
      <w:pPr>
        <w:pStyle w:val="InhaltVA"/>
      </w:pPr>
      <w:r>
        <w:t>Eine eventuell notwendige Vorreinigung der MP kann mit kaltem VE-Wasser, weichen Bürsten oder mittels Ultraschallgerät durchgeführt werden. Hier ist darauf zu achten, dass die MP vom Hersteller für die Behandlung im Ultraschallgerät freigegeben wurden.</w:t>
      </w:r>
    </w:p>
    <w:p w14:paraId="2654A539" w14:textId="77777777" w:rsidR="00E77FB2" w:rsidRDefault="00E77FB2" w:rsidP="00E77FB2">
      <w:pPr>
        <w:pStyle w:val="InhaltVA"/>
      </w:pPr>
      <w:r>
        <w:t>Nach der Behandlung im Ultraschallbad sind die MP gründlich mit VE-Wasser abzuspülen, damit keine Reinigungschemie aus dem Ultraschallbad in das RDG verschleppt wird.</w:t>
      </w:r>
    </w:p>
    <w:p w14:paraId="18533050" w14:textId="008ADA08" w:rsidR="00E77FB2" w:rsidRDefault="00E77FB2">
      <w:pPr>
        <w:rPr>
          <w:rFonts w:eastAsia="Times New Roman"/>
          <w:color w:val="000000"/>
          <w:szCs w:val="20"/>
          <w:lang w:eastAsia="de-DE"/>
        </w:rPr>
      </w:pPr>
      <w:r>
        <w:br w:type="page"/>
      </w:r>
    </w:p>
    <w:p w14:paraId="69DB0499" w14:textId="77777777" w:rsidR="00E77FB2" w:rsidRDefault="00E77FB2" w:rsidP="00E77FB2">
      <w:pPr>
        <w:pStyle w:val="InhaltVA"/>
      </w:pPr>
    </w:p>
    <w:p w14:paraId="4A7124CF" w14:textId="77777777" w:rsidR="00E77FB2" w:rsidRDefault="00E77FB2" w:rsidP="00E77FB2">
      <w:pPr>
        <w:pStyle w:val="InhaltVA"/>
      </w:pPr>
      <w:r>
        <w:t>Grundsätzlich ist im Rahmen der maschinellen Aufbereitung darauf zu achten:</w:t>
      </w:r>
    </w:p>
    <w:p w14:paraId="719DF86E" w14:textId="77777777" w:rsidR="00E77FB2" w:rsidRDefault="00E77FB2" w:rsidP="00E77FB2">
      <w:pPr>
        <w:pStyle w:val="InhaltVA"/>
        <w:numPr>
          <w:ilvl w:val="0"/>
          <w:numId w:val="1"/>
        </w:numPr>
        <w:ind w:left="357" w:hanging="357"/>
      </w:pPr>
      <w:r>
        <w:t>Gelenkinstrumente sind vor dem Beladen des RDG im 90°-Winkel zu öffnen</w:t>
      </w:r>
    </w:p>
    <w:p w14:paraId="54508EFE" w14:textId="77777777" w:rsidR="00E77FB2" w:rsidRDefault="00E77FB2" w:rsidP="00E77FB2">
      <w:pPr>
        <w:pStyle w:val="InhaltVA"/>
        <w:numPr>
          <w:ilvl w:val="0"/>
          <w:numId w:val="1"/>
        </w:numPr>
        <w:ind w:left="357" w:hanging="357"/>
      </w:pPr>
      <w:r>
        <w:t xml:space="preserve">Hohlkörperinstrumente sind vor dem Beladen des RDG mit VE-Wasser durchzuspülen und im Beladewagen zu </w:t>
      </w:r>
      <w:proofErr w:type="spellStart"/>
      <w:r>
        <w:t>konnektieren</w:t>
      </w:r>
      <w:proofErr w:type="spellEnd"/>
    </w:p>
    <w:p w14:paraId="318A8A01" w14:textId="77777777" w:rsidR="00E77FB2" w:rsidRDefault="00E77FB2" w:rsidP="00E77FB2">
      <w:pPr>
        <w:pStyle w:val="InhaltVA"/>
        <w:numPr>
          <w:ilvl w:val="0"/>
          <w:numId w:val="1"/>
        </w:numPr>
        <w:ind w:left="357" w:hanging="357"/>
      </w:pPr>
      <w:r>
        <w:t>Keine Spülschatten bilden, z.B. keine großflächigen Instrumente auf kleinere Instrumente legen</w:t>
      </w:r>
    </w:p>
    <w:p w14:paraId="2ADD1923" w14:textId="77777777" w:rsidR="00E77FB2" w:rsidRDefault="00E77FB2" w:rsidP="00E77FB2">
      <w:pPr>
        <w:pStyle w:val="InhaltVA"/>
        <w:numPr>
          <w:ilvl w:val="0"/>
          <w:numId w:val="1"/>
        </w:numPr>
        <w:ind w:left="357" w:hanging="357"/>
      </w:pPr>
      <w:r>
        <w:t>Nieren- bzw. Laborschalen mit der Öffnung nach unten in den Siebkorb legen</w:t>
      </w:r>
    </w:p>
    <w:p w14:paraId="7F1A2635" w14:textId="77777777" w:rsidR="00E77FB2" w:rsidRDefault="00E77FB2" w:rsidP="00E77FB2">
      <w:pPr>
        <w:pStyle w:val="InhaltVA"/>
        <w:numPr>
          <w:ilvl w:val="0"/>
          <w:numId w:val="1"/>
        </w:numPr>
        <w:ind w:left="357" w:hanging="357"/>
      </w:pPr>
      <w:r>
        <w:t>Kleinteile sind zu sichern</w:t>
      </w:r>
    </w:p>
    <w:p w14:paraId="27479F8D" w14:textId="77777777" w:rsidR="00E77FB2" w:rsidRPr="001313CB" w:rsidRDefault="00E77FB2" w:rsidP="001313CB">
      <w:pPr>
        <w:spacing w:after="0" w:line="240" w:lineRule="auto"/>
        <w:rPr>
          <w:b/>
        </w:rPr>
      </w:pPr>
    </w:p>
    <w:sectPr w:rsidR="00E77FB2" w:rsidRPr="001313C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D9FC5" w14:textId="77777777" w:rsidR="007F5C75" w:rsidRDefault="007F5C75" w:rsidP="001313CB">
      <w:pPr>
        <w:spacing w:after="0" w:line="240" w:lineRule="auto"/>
      </w:pPr>
      <w:r>
        <w:separator/>
      </w:r>
    </w:p>
  </w:endnote>
  <w:endnote w:type="continuationSeparator" w:id="0">
    <w:p w14:paraId="19238547" w14:textId="77777777" w:rsidR="007F5C75" w:rsidRDefault="007F5C75" w:rsidP="001313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6B3CA" w14:textId="77777777" w:rsidR="008A6ED5" w:rsidRDefault="008A6ED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9067" w:type="dxa"/>
      <w:tblBorders>
        <w:insideH w:val="none" w:sz="0" w:space="0" w:color="auto"/>
        <w:insideV w:val="none" w:sz="0" w:space="0" w:color="auto"/>
      </w:tblBorders>
      <w:tblLayout w:type="fixed"/>
      <w:tblLook w:val="04A0" w:firstRow="1" w:lastRow="0" w:firstColumn="1" w:lastColumn="0" w:noHBand="0" w:noVBand="1"/>
    </w:tblPr>
    <w:tblGrid>
      <w:gridCol w:w="1134"/>
      <w:gridCol w:w="1134"/>
      <w:gridCol w:w="1298"/>
      <w:gridCol w:w="1298"/>
      <w:gridCol w:w="1474"/>
      <w:gridCol w:w="1389"/>
      <w:gridCol w:w="1340"/>
    </w:tblGrid>
    <w:tr w:rsidR="00164C10" w:rsidRPr="00164C10" w14:paraId="61E5D540" w14:textId="77777777" w:rsidTr="008C0669">
      <w:tc>
        <w:tcPr>
          <w:tcW w:w="1134" w:type="dxa"/>
          <w:tcMar>
            <w:left w:w="28" w:type="dxa"/>
            <w:right w:w="28" w:type="dxa"/>
          </w:tcMar>
        </w:tcPr>
        <w:p w14:paraId="481915D4" w14:textId="77777777" w:rsidR="00164C10" w:rsidRPr="008C0669" w:rsidRDefault="00164C10" w:rsidP="00164C10">
          <w:pPr>
            <w:pStyle w:val="Fuzeile"/>
            <w:rPr>
              <w:sz w:val="16"/>
              <w:szCs w:val="16"/>
            </w:rPr>
          </w:pPr>
          <w:r w:rsidRPr="008C0669">
            <w:rPr>
              <w:spacing w:val="6"/>
              <w:sz w:val="16"/>
              <w:szCs w:val="16"/>
            </w:rPr>
            <w:t>Erstausgabe</w:t>
          </w:r>
          <w:r w:rsidRPr="008C0669">
            <w:rPr>
              <w:spacing w:val="4"/>
              <w:sz w:val="16"/>
              <w:szCs w:val="16"/>
            </w:rPr>
            <w:t>:</w:t>
          </w:r>
        </w:p>
      </w:tc>
      <w:tc>
        <w:tcPr>
          <w:tcW w:w="1134" w:type="dxa"/>
          <w:tcMar>
            <w:left w:w="28" w:type="dxa"/>
            <w:right w:w="28" w:type="dxa"/>
          </w:tcMar>
        </w:tcPr>
        <w:p w14:paraId="05673B4A" w14:textId="77777777" w:rsidR="00164C10" w:rsidRPr="008C0669" w:rsidRDefault="00164C10" w:rsidP="00164C10">
          <w:pPr>
            <w:pStyle w:val="Fuzeile"/>
            <w:rPr>
              <w:sz w:val="16"/>
              <w:szCs w:val="16"/>
            </w:rPr>
          </w:pPr>
        </w:p>
      </w:tc>
      <w:tc>
        <w:tcPr>
          <w:tcW w:w="1298" w:type="dxa"/>
          <w:tcMar>
            <w:left w:w="28" w:type="dxa"/>
            <w:right w:w="28" w:type="dxa"/>
          </w:tcMar>
        </w:tcPr>
        <w:p w14:paraId="645A2E1E" w14:textId="77777777" w:rsidR="00164C10" w:rsidRPr="008C0669" w:rsidRDefault="00164C10" w:rsidP="00164C10">
          <w:pPr>
            <w:pStyle w:val="Fuzeile"/>
            <w:rPr>
              <w:sz w:val="16"/>
              <w:szCs w:val="16"/>
            </w:rPr>
          </w:pPr>
        </w:p>
      </w:tc>
      <w:tc>
        <w:tcPr>
          <w:tcW w:w="1298" w:type="dxa"/>
          <w:tcMar>
            <w:left w:w="28" w:type="dxa"/>
            <w:right w:w="28" w:type="dxa"/>
          </w:tcMar>
        </w:tcPr>
        <w:p w14:paraId="72A8237D" w14:textId="77777777" w:rsidR="00164C10" w:rsidRPr="008C0669" w:rsidRDefault="00164C10" w:rsidP="00164C10">
          <w:pPr>
            <w:pStyle w:val="Fuzeile"/>
            <w:rPr>
              <w:sz w:val="16"/>
              <w:szCs w:val="16"/>
            </w:rPr>
          </w:pPr>
          <w:r w:rsidRPr="008C0669">
            <w:rPr>
              <w:sz w:val="16"/>
              <w:szCs w:val="16"/>
            </w:rPr>
            <w:t>Datum</w:t>
          </w:r>
        </w:p>
      </w:tc>
      <w:tc>
        <w:tcPr>
          <w:tcW w:w="1474" w:type="dxa"/>
          <w:tcMar>
            <w:left w:w="28" w:type="dxa"/>
            <w:right w:w="28" w:type="dxa"/>
          </w:tcMar>
        </w:tcPr>
        <w:p w14:paraId="37667682" w14:textId="77777777" w:rsidR="00164C10" w:rsidRPr="008C0669" w:rsidRDefault="00164C10" w:rsidP="00164C10">
          <w:pPr>
            <w:pStyle w:val="Fuzeile"/>
            <w:rPr>
              <w:sz w:val="16"/>
              <w:szCs w:val="16"/>
            </w:rPr>
          </w:pPr>
          <w:r w:rsidRPr="008C0669">
            <w:rPr>
              <w:sz w:val="16"/>
              <w:szCs w:val="16"/>
            </w:rPr>
            <w:t>Name</w:t>
          </w:r>
        </w:p>
      </w:tc>
      <w:tc>
        <w:tcPr>
          <w:tcW w:w="2729" w:type="dxa"/>
          <w:gridSpan w:val="2"/>
          <w:vMerge w:val="restart"/>
          <w:tcMar>
            <w:left w:w="28" w:type="dxa"/>
            <w:right w:w="28" w:type="dxa"/>
          </w:tcMar>
        </w:tcPr>
        <w:p w14:paraId="70DD3C0E" w14:textId="77777777" w:rsidR="00164C10" w:rsidRPr="008C0669" w:rsidRDefault="00164C10" w:rsidP="00164C10">
          <w:pPr>
            <w:pStyle w:val="Fuzeile"/>
            <w:rPr>
              <w:sz w:val="16"/>
              <w:szCs w:val="16"/>
            </w:rPr>
          </w:pPr>
          <w:r w:rsidRPr="008C0669">
            <w:rPr>
              <w:sz w:val="16"/>
              <w:szCs w:val="16"/>
            </w:rPr>
            <w:t>Dok.-Name:</w:t>
          </w:r>
        </w:p>
        <w:p w14:paraId="7255D553" w14:textId="6E07561D" w:rsidR="008C0669" w:rsidRPr="008C0669" w:rsidRDefault="008C0669" w:rsidP="00164C10">
          <w:pPr>
            <w:pStyle w:val="Fuzeile"/>
            <w:rPr>
              <w:sz w:val="16"/>
              <w:szCs w:val="16"/>
            </w:rPr>
          </w:pPr>
          <w:r w:rsidRPr="008C0669">
            <w:rPr>
              <w:sz w:val="16"/>
              <w:szCs w:val="16"/>
            </w:rPr>
            <w:fldChar w:fldCharType="begin"/>
          </w:r>
          <w:r w:rsidRPr="008C0669">
            <w:rPr>
              <w:sz w:val="16"/>
              <w:szCs w:val="16"/>
            </w:rPr>
            <w:instrText xml:space="preserve"> FILENAME </w:instrText>
          </w:r>
          <w:r w:rsidRPr="008C0669">
            <w:rPr>
              <w:sz w:val="16"/>
              <w:szCs w:val="16"/>
            </w:rPr>
            <w:fldChar w:fldCharType="separate"/>
          </w:r>
          <w:r w:rsidR="00251F9A">
            <w:rPr>
              <w:noProof/>
              <w:sz w:val="16"/>
              <w:szCs w:val="16"/>
            </w:rPr>
            <w:t>VA_KPR_TSM_RED_02_01_Maschinelle_RuD</w:t>
          </w:r>
          <w:r w:rsidRPr="008C0669">
            <w:rPr>
              <w:sz w:val="16"/>
              <w:szCs w:val="16"/>
            </w:rPr>
            <w:fldChar w:fldCharType="end"/>
          </w:r>
        </w:p>
      </w:tc>
    </w:tr>
    <w:tr w:rsidR="00164C10" w:rsidRPr="00164C10" w14:paraId="48294F07" w14:textId="77777777" w:rsidTr="008C0669">
      <w:tc>
        <w:tcPr>
          <w:tcW w:w="1134" w:type="dxa"/>
          <w:tcMar>
            <w:left w:w="28" w:type="dxa"/>
            <w:right w:w="28" w:type="dxa"/>
          </w:tcMar>
        </w:tcPr>
        <w:p w14:paraId="4932DB15" w14:textId="77777777" w:rsidR="00164C10" w:rsidRPr="008C0669" w:rsidRDefault="00164C10" w:rsidP="00164C10">
          <w:pPr>
            <w:pStyle w:val="Fuzeile"/>
            <w:rPr>
              <w:sz w:val="16"/>
              <w:szCs w:val="16"/>
            </w:rPr>
          </w:pPr>
          <w:r w:rsidRPr="008C0669">
            <w:rPr>
              <w:sz w:val="16"/>
              <w:szCs w:val="16"/>
            </w:rPr>
            <w:t>Revision:</w:t>
          </w:r>
        </w:p>
      </w:tc>
      <w:tc>
        <w:tcPr>
          <w:tcW w:w="1134" w:type="dxa"/>
          <w:tcMar>
            <w:left w:w="28" w:type="dxa"/>
            <w:right w:w="28" w:type="dxa"/>
          </w:tcMar>
        </w:tcPr>
        <w:p w14:paraId="3F0B7E82" w14:textId="77777777" w:rsidR="00164C10" w:rsidRPr="008C0669" w:rsidRDefault="00164C10" w:rsidP="00164C10">
          <w:pPr>
            <w:pStyle w:val="Fuzeile"/>
            <w:rPr>
              <w:sz w:val="16"/>
              <w:szCs w:val="16"/>
            </w:rPr>
          </w:pPr>
          <w:r w:rsidRPr="008C0669">
            <w:rPr>
              <w:sz w:val="16"/>
              <w:szCs w:val="16"/>
            </w:rPr>
            <w:t>01</w:t>
          </w:r>
        </w:p>
      </w:tc>
      <w:tc>
        <w:tcPr>
          <w:tcW w:w="1298" w:type="dxa"/>
          <w:tcMar>
            <w:left w:w="28" w:type="dxa"/>
            <w:right w:w="28" w:type="dxa"/>
          </w:tcMar>
        </w:tcPr>
        <w:p w14:paraId="37011ED0" w14:textId="77777777" w:rsidR="00164C10" w:rsidRPr="008C0669" w:rsidRDefault="00164C10" w:rsidP="00164C10">
          <w:pPr>
            <w:pStyle w:val="Fuzeile"/>
            <w:rPr>
              <w:sz w:val="16"/>
              <w:szCs w:val="16"/>
            </w:rPr>
          </w:pPr>
          <w:r w:rsidRPr="008C0669">
            <w:rPr>
              <w:sz w:val="16"/>
              <w:szCs w:val="16"/>
            </w:rPr>
            <w:t>Erstellt:</w:t>
          </w:r>
        </w:p>
      </w:tc>
      <w:tc>
        <w:tcPr>
          <w:tcW w:w="1298" w:type="dxa"/>
          <w:tcMar>
            <w:left w:w="28" w:type="dxa"/>
            <w:right w:w="28" w:type="dxa"/>
          </w:tcMar>
        </w:tcPr>
        <w:p w14:paraId="4107E662" w14:textId="77777777" w:rsidR="00164C10" w:rsidRPr="008C0669" w:rsidRDefault="00164C10" w:rsidP="00164C10">
          <w:pPr>
            <w:pStyle w:val="Fuzeile"/>
            <w:rPr>
              <w:sz w:val="16"/>
              <w:szCs w:val="16"/>
            </w:rPr>
          </w:pPr>
          <w:r w:rsidRPr="008C0669">
            <w:rPr>
              <w:sz w:val="16"/>
              <w:szCs w:val="16"/>
            </w:rPr>
            <w:t>23.08.2019</w:t>
          </w:r>
        </w:p>
      </w:tc>
      <w:tc>
        <w:tcPr>
          <w:tcW w:w="1474" w:type="dxa"/>
          <w:tcMar>
            <w:left w:w="28" w:type="dxa"/>
            <w:right w:w="28" w:type="dxa"/>
          </w:tcMar>
        </w:tcPr>
        <w:p w14:paraId="671E08C1" w14:textId="77777777" w:rsidR="00164C10" w:rsidRPr="008C0669" w:rsidRDefault="00164C10" w:rsidP="00164C10">
          <w:pPr>
            <w:pStyle w:val="Fuzeile"/>
            <w:rPr>
              <w:sz w:val="16"/>
              <w:szCs w:val="16"/>
            </w:rPr>
          </w:pPr>
          <w:r w:rsidRPr="008C0669">
            <w:rPr>
              <w:sz w:val="16"/>
              <w:szCs w:val="16"/>
            </w:rPr>
            <w:t>Projektteam QM</w:t>
          </w:r>
        </w:p>
      </w:tc>
      <w:tc>
        <w:tcPr>
          <w:tcW w:w="2729" w:type="dxa"/>
          <w:gridSpan w:val="2"/>
          <w:vMerge/>
          <w:tcMar>
            <w:left w:w="28" w:type="dxa"/>
            <w:right w:w="28" w:type="dxa"/>
          </w:tcMar>
        </w:tcPr>
        <w:p w14:paraId="0642B513" w14:textId="77777777" w:rsidR="00164C10" w:rsidRPr="008C0669" w:rsidRDefault="00164C10" w:rsidP="00164C10">
          <w:pPr>
            <w:pStyle w:val="Fuzeile"/>
            <w:rPr>
              <w:sz w:val="16"/>
              <w:szCs w:val="16"/>
            </w:rPr>
          </w:pPr>
        </w:p>
      </w:tc>
    </w:tr>
    <w:tr w:rsidR="00164C10" w:rsidRPr="00164C10" w14:paraId="37AE290A" w14:textId="77777777" w:rsidTr="008C0669">
      <w:tc>
        <w:tcPr>
          <w:tcW w:w="1134" w:type="dxa"/>
          <w:tcMar>
            <w:left w:w="28" w:type="dxa"/>
            <w:right w:w="28" w:type="dxa"/>
          </w:tcMar>
        </w:tcPr>
        <w:p w14:paraId="73C99110" w14:textId="77777777" w:rsidR="00164C10" w:rsidRPr="008C0669" w:rsidRDefault="00164C10" w:rsidP="00164C10">
          <w:pPr>
            <w:pStyle w:val="Fuzeile"/>
            <w:rPr>
              <w:sz w:val="16"/>
              <w:szCs w:val="16"/>
            </w:rPr>
          </w:pPr>
        </w:p>
      </w:tc>
      <w:tc>
        <w:tcPr>
          <w:tcW w:w="1134" w:type="dxa"/>
          <w:tcMar>
            <w:left w:w="28" w:type="dxa"/>
            <w:right w:w="28" w:type="dxa"/>
          </w:tcMar>
        </w:tcPr>
        <w:p w14:paraId="16CF04A2" w14:textId="77777777" w:rsidR="00164C10" w:rsidRPr="008C0669" w:rsidRDefault="00164C10" w:rsidP="00164C10">
          <w:pPr>
            <w:pStyle w:val="Fuzeile"/>
            <w:rPr>
              <w:sz w:val="16"/>
              <w:szCs w:val="16"/>
            </w:rPr>
          </w:pPr>
        </w:p>
      </w:tc>
      <w:tc>
        <w:tcPr>
          <w:tcW w:w="1298" w:type="dxa"/>
          <w:tcMar>
            <w:left w:w="28" w:type="dxa"/>
            <w:right w:w="28" w:type="dxa"/>
          </w:tcMar>
        </w:tcPr>
        <w:p w14:paraId="1EF16B08" w14:textId="77777777" w:rsidR="00164C10" w:rsidRPr="008C0669" w:rsidRDefault="00164C10" w:rsidP="00164C10">
          <w:pPr>
            <w:pStyle w:val="Fuzeile"/>
            <w:rPr>
              <w:sz w:val="16"/>
              <w:szCs w:val="16"/>
            </w:rPr>
          </w:pPr>
          <w:r w:rsidRPr="008C0669">
            <w:rPr>
              <w:sz w:val="16"/>
              <w:szCs w:val="16"/>
            </w:rPr>
            <w:t>Geprüft:</w:t>
          </w:r>
        </w:p>
      </w:tc>
      <w:tc>
        <w:tcPr>
          <w:tcW w:w="1298" w:type="dxa"/>
          <w:tcMar>
            <w:left w:w="28" w:type="dxa"/>
            <w:right w:w="28" w:type="dxa"/>
          </w:tcMar>
        </w:tcPr>
        <w:p w14:paraId="2EA3E3E1" w14:textId="77777777" w:rsidR="00164C10" w:rsidRPr="008C0669" w:rsidRDefault="00164C10" w:rsidP="00164C10">
          <w:pPr>
            <w:pStyle w:val="Fuzeile"/>
            <w:rPr>
              <w:sz w:val="16"/>
              <w:szCs w:val="16"/>
            </w:rPr>
          </w:pPr>
        </w:p>
      </w:tc>
      <w:tc>
        <w:tcPr>
          <w:tcW w:w="1474" w:type="dxa"/>
          <w:tcMar>
            <w:left w:w="28" w:type="dxa"/>
            <w:right w:w="28" w:type="dxa"/>
          </w:tcMar>
        </w:tcPr>
        <w:p w14:paraId="6069FDA3" w14:textId="77777777" w:rsidR="00164C10" w:rsidRPr="008C0669" w:rsidRDefault="00164C10" w:rsidP="00164C10">
          <w:pPr>
            <w:pStyle w:val="Fuzeile"/>
            <w:rPr>
              <w:sz w:val="16"/>
              <w:szCs w:val="16"/>
            </w:rPr>
          </w:pPr>
        </w:p>
      </w:tc>
      <w:tc>
        <w:tcPr>
          <w:tcW w:w="2729" w:type="dxa"/>
          <w:gridSpan w:val="2"/>
          <w:vMerge/>
          <w:tcMar>
            <w:left w:w="28" w:type="dxa"/>
            <w:right w:w="28" w:type="dxa"/>
          </w:tcMar>
        </w:tcPr>
        <w:p w14:paraId="5D343A51" w14:textId="77777777" w:rsidR="00164C10" w:rsidRPr="008C0669" w:rsidRDefault="00164C10" w:rsidP="00164C10">
          <w:pPr>
            <w:pStyle w:val="Fuzeile"/>
            <w:rPr>
              <w:sz w:val="16"/>
              <w:szCs w:val="16"/>
            </w:rPr>
          </w:pPr>
        </w:p>
      </w:tc>
    </w:tr>
    <w:tr w:rsidR="00164C10" w:rsidRPr="00164C10" w14:paraId="73695C6C" w14:textId="77777777" w:rsidTr="008C0669">
      <w:tc>
        <w:tcPr>
          <w:tcW w:w="1134" w:type="dxa"/>
          <w:tcMar>
            <w:left w:w="28" w:type="dxa"/>
            <w:right w:w="28" w:type="dxa"/>
          </w:tcMar>
        </w:tcPr>
        <w:p w14:paraId="2F6948E3" w14:textId="77777777" w:rsidR="00164C10" w:rsidRPr="008C0669" w:rsidRDefault="00164C10" w:rsidP="00164C10">
          <w:pPr>
            <w:pStyle w:val="Fuzeile"/>
            <w:rPr>
              <w:sz w:val="16"/>
              <w:szCs w:val="16"/>
            </w:rPr>
          </w:pPr>
          <w:r w:rsidRPr="008C0669">
            <w:rPr>
              <w:sz w:val="16"/>
              <w:szCs w:val="16"/>
            </w:rPr>
            <w:t>Stand:</w:t>
          </w:r>
        </w:p>
      </w:tc>
      <w:tc>
        <w:tcPr>
          <w:tcW w:w="1134" w:type="dxa"/>
          <w:tcMar>
            <w:left w:w="28" w:type="dxa"/>
            <w:right w:w="28" w:type="dxa"/>
          </w:tcMar>
        </w:tcPr>
        <w:p w14:paraId="751E07A6" w14:textId="087D6116" w:rsidR="00164C10" w:rsidRPr="008C0669" w:rsidRDefault="00164C10" w:rsidP="00164C10">
          <w:pPr>
            <w:pStyle w:val="Fuzeile"/>
            <w:rPr>
              <w:sz w:val="16"/>
              <w:szCs w:val="16"/>
            </w:rPr>
          </w:pPr>
          <w:r w:rsidRPr="008C0669">
            <w:rPr>
              <w:sz w:val="16"/>
              <w:szCs w:val="16"/>
            </w:rPr>
            <w:fldChar w:fldCharType="begin"/>
          </w:r>
          <w:r w:rsidRPr="008C0669">
            <w:rPr>
              <w:sz w:val="16"/>
              <w:szCs w:val="16"/>
            </w:rPr>
            <w:instrText xml:space="preserve"> SAVEDATE  \@ "dd.MM.yyyy"  \* MERGEFORMAT </w:instrText>
          </w:r>
          <w:r w:rsidRPr="008C0669">
            <w:rPr>
              <w:sz w:val="16"/>
              <w:szCs w:val="16"/>
            </w:rPr>
            <w:fldChar w:fldCharType="separate"/>
          </w:r>
          <w:r w:rsidR="008A6ED5">
            <w:rPr>
              <w:noProof/>
              <w:sz w:val="16"/>
              <w:szCs w:val="16"/>
            </w:rPr>
            <w:t>23.07.2021</w:t>
          </w:r>
          <w:r w:rsidRPr="008C0669">
            <w:rPr>
              <w:sz w:val="16"/>
              <w:szCs w:val="16"/>
            </w:rPr>
            <w:fldChar w:fldCharType="end"/>
          </w:r>
        </w:p>
      </w:tc>
      <w:tc>
        <w:tcPr>
          <w:tcW w:w="1298" w:type="dxa"/>
          <w:tcMar>
            <w:left w:w="28" w:type="dxa"/>
            <w:right w:w="28" w:type="dxa"/>
          </w:tcMar>
        </w:tcPr>
        <w:p w14:paraId="1C186DAF" w14:textId="77777777" w:rsidR="00164C10" w:rsidRPr="008C0669" w:rsidRDefault="00164C10" w:rsidP="00164C10">
          <w:pPr>
            <w:pStyle w:val="Fuzeile"/>
            <w:rPr>
              <w:sz w:val="16"/>
              <w:szCs w:val="16"/>
            </w:rPr>
          </w:pPr>
          <w:r w:rsidRPr="008C0669">
            <w:rPr>
              <w:sz w:val="16"/>
              <w:szCs w:val="16"/>
            </w:rPr>
            <w:t>Freigegeben:</w:t>
          </w:r>
        </w:p>
      </w:tc>
      <w:tc>
        <w:tcPr>
          <w:tcW w:w="1298" w:type="dxa"/>
          <w:tcMar>
            <w:left w:w="28" w:type="dxa"/>
            <w:right w:w="28" w:type="dxa"/>
          </w:tcMar>
        </w:tcPr>
        <w:p w14:paraId="70348825" w14:textId="77777777" w:rsidR="00164C10" w:rsidRPr="008C0669" w:rsidRDefault="00164C10" w:rsidP="00164C10">
          <w:pPr>
            <w:pStyle w:val="Fuzeile"/>
            <w:rPr>
              <w:sz w:val="16"/>
              <w:szCs w:val="16"/>
            </w:rPr>
          </w:pPr>
        </w:p>
      </w:tc>
      <w:tc>
        <w:tcPr>
          <w:tcW w:w="1474" w:type="dxa"/>
          <w:tcMar>
            <w:left w:w="28" w:type="dxa"/>
            <w:right w:w="28" w:type="dxa"/>
          </w:tcMar>
        </w:tcPr>
        <w:p w14:paraId="2A57EEC6" w14:textId="77777777" w:rsidR="00164C10" w:rsidRPr="008C0669" w:rsidRDefault="00164C10" w:rsidP="00164C10">
          <w:pPr>
            <w:pStyle w:val="Fuzeile"/>
            <w:rPr>
              <w:sz w:val="16"/>
              <w:szCs w:val="16"/>
            </w:rPr>
          </w:pPr>
        </w:p>
      </w:tc>
      <w:tc>
        <w:tcPr>
          <w:tcW w:w="1389" w:type="dxa"/>
          <w:tcMar>
            <w:left w:w="28" w:type="dxa"/>
            <w:right w:w="28" w:type="dxa"/>
          </w:tcMar>
        </w:tcPr>
        <w:p w14:paraId="0A6FFB2C" w14:textId="77777777" w:rsidR="00164C10" w:rsidRPr="008C0669" w:rsidRDefault="00164C10" w:rsidP="00164C10">
          <w:pPr>
            <w:pStyle w:val="Fuzeile"/>
            <w:rPr>
              <w:sz w:val="16"/>
              <w:szCs w:val="16"/>
            </w:rPr>
          </w:pPr>
          <w:r w:rsidRPr="008C0669">
            <w:rPr>
              <w:sz w:val="16"/>
              <w:szCs w:val="16"/>
            </w:rPr>
            <w:t>Seite:</w:t>
          </w:r>
        </w:p>
      </w:tc>
      <w:tc>
        <w:tcPr>
          <w:tcW w:w="1340" w:type="dxa"/>
          <w:tcMar>
            <w:left w:w="28" w:type="dxa"/>
            <w:right w:w="28" w:type="dxa"/>
          </w:tcMar>
        </w:tcPr>
        <w:p w14:paraId="05038747" w14:textId="77777777" w:rsidR="00164C10" w:rsidRPr="008C0669" w:rsidRDefault="00164C10" w:rsidP="00164C10">
          <w:pPr>
            <w:pStyle w:val="Fuzeile"/>
            <w:jc w:val="right"/>
            <w:rPr>
              <w:sz w:val="16"/>
              <w:szCs w:val="16"/>
            </w:rPr>
          </w:pPr>
          <w:r w:rsidRPr="008C0669">
            <w:rPr>
              <w:sz w:val="16"/>
              <w:szCs w:val="16"/>
            </w:rPr>
            <w:fldChar w:fldCharType="begin"/>
          </w:r>
          <w:r w:rsidRPr="008C0669">
            <w:rPr>
              <w:sz w:val="16"/>
              <w:szCs w:val="16"/>
            </w:rPr>
            <w:instrText xml:space="preserve"> PAGE </w:instrText>
          </w:r>
          <w:r w:rsidRPr="008C0669">
            <w:rPr>
              <w:sz w:val="16"/>
              <w:szCs w:val="16"/>
            </w:rPr>
            <w:fldChar w:fldCharType="separate"/>
          </w:r>
          <w:r w:rsidRPr="008C0669">
            <w:rPr>
              <w:sz w:val="16"/>
              <w:szCs w:val="16"/>
            </w:rPr>
            <w:t>1</w:t>
          </w:r>
          <w:r w:rsidRPr="008C0669">
            <w:rPr>
              <w:sz w:val="16"/>
              <w:szCs w:val="16"/>
            </w:rPr>
            <w:fldChar w:fldCharType="end"/>
          </w:r>
          <w:r w:rsidRPr="008C0669">
            <w:rPr>
              <w:sz w:val="16"/>
              <w:szCs w:val="16"/>
            </w:rPr>
            <w:t xml:space="preserve"> von </w:t>
          </w:r>
          <w:r w:rsidRPr="008C0669">
            <w:rPr>
              <w:sz w:val="16"/>
              <w:szCs w:val="16"/>
            </w:rPr>
            <w:fldChar w:fldCharType="begin"/>
          </w:r>
          <w:r w:rsidRPr="008C0669">
            <w:rPr>
              <w:sz w:val="16"/>
              <w:szCs w:val="16"/>
            </w:rPr>
            <w:instrText xml:space="preserve"> NUMPAGES </w:instrText>
          </w:r>
          <w:r w:rsidRPr="008C0669">
            <w:rPr>
              <w:sz w:val="16"/>
              <w:szCs w:val="16"/>
            </w:rPr>
            <w:fldChar w:fldCharType="separate"/>
          </w:r>
          <w:r w:rsidRPr="008C0669">
            <w:rPr>
              <w:sz w:val="16"/>
              <w:szCs w:val="16"/>
            </w:rPr>
            <w:t>1</w:t>
          </w:r>
          <w:r w:rsidRPr="008C0669">
            <w:rPr>
              <w:sz w:val="16"/>
              <w:szCs w:val="16"/>
            </w:rPr>
            <w:fldChar w:fldCharType="end"/>
          </w:r>
        </w:p>
      </w:tc>
    </w:tr>
  </w:tbl>
  <w:p w14:paraId="2C0B8CD4" w14:textId="77777777" w:rsidR="00164C10" w:rsidRPr="00164C10" w:rsidRDefault="00164C10">
    <w:pPr>
      <w:pStyle w:val="Fuzeile"/>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628C7" w14:textId="77777777" w:rsidR="008A6ED5" w:rsidRDefault="008A6ED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55F69" w14:textId="77777777" w:rsidR="007F5C75" w:rsidRDefault="007F5C75" w:rsidP="001313CB">
      <w:pPr>
        <w:spacing w:after="0" w:line="240" w:lineRule="auto"/>
      </w:pPr>
      <w:r>
        <w:separator/>
      </w:r>
    </w:p>
  </w:footnote>
  <w:footnote w:type="continuationSeparator" w:id="0">
    <w:p w14:paraId="001B8738" w14:textId="77777777" w:rsidR="007F5C75" w:rsidRDefault="007F5C75" w:rsidP="001313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6BE9F" w14:textId="77777777" w:rsidR="008A6ED5" w:rsidRDefault="008A6ED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Layout w:type="fixed"/>
      <w:tblLook w:val="04A0" w:firstRow="1" w:lastRow="0" w:firstColumn="1" w:lastColumn="0" w:noHBand="0" w:noVBand="1"/>
    </w:tblPr>
    <w:tblGrid>
      <w:gridCol w:w="2409"/>
      <w:gridCol w:w="4252"/>
      <w:gridCol w:w="2409"/>
    </w:tblGrid>
    <w:tr w:rsidR="001313CB" w14:paraId="6ED5A1B7" w14:textId="77777777" w:rsidTr="00164C10">
      <w:trPr>
        <w:trHeight w:val="850"/>
      </w:trPr>
      <w:tc>
        <w:tcPr>
          <w:tcW w:w="2409" w:type="dxa"/>
          <w:vMerge w:val="restart"/>
        </w:tcPr>
        <w:p w14:paraId="149833A7" w14:textId="07016244" w:rsidR="001313CB" w:rsidRDefault="008A6ED5" w:rsidP="001313CB">
          <w:pPr>
            <w:pStyle w:val="Kopfzeile"/>
            <w:jc w:val="center"/>
          </w:pPr>
          <w:r>
            <w:rPr>
              <w:noProof/>
            </w:rPr>
            <w:drawing>
              <wp:inline distT="0" distB="0" distL="0" distR="0" wp14:anchorId="5B237D21" wp14:editId="7B843E31">
                <wp:extent cx="1259840" cy="924560"/>
                <wp:effectExtent l="0" t="0" r="0" b="889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a:picLocks noChangeAspect="1"/>
                        </pic:cNvPicPr>
                      </pic:nvPicPr>
                      <pic:blipFill>
                        <a:blip r:embed="rId1"/>
                        <a:stretch>
                          <a:fillRect/>
                        </a:stretch>
                      </pic:blipFill>
                      <pic:spPr>
                        <a:xfrm>
                          <a:off x="0" y="0"/>
                          <a:ext cx="1259840" cy="924560"/>
                        </a:xfrm>
                        <a:prstGeom prst="rect">
                          <a:avLst/>
                        </a:prstGeom>
                      </pic:spPr>
                    </pic:pic>
                  </a:graphicData>
                </a:graphic>
              </wp:inline>
            </w:drawing>
          </w:r>
        </w:p>
      </w:tc>
      <w:tc>
        <w:tcPr>
          <w:tcW w:w="4252" w:type="dxa"/>
        </w:tcPr>
        <w:p w14:paraId="2E023D40" w14:textId="77777777" w:rsidR="001313CB" w:rsidRPr="001313CB" w:rsidRDefault="001313CB" w:rsidP="001313CB">
          <w:pPr>
            <w:pStyle w:val="berschrift1"/>
            <w:jc w:val="center"/>
            <w:outlineLvl w:val="0"/>
            <w:rPr>
              <w:rFonts w:ascii="Times New Roman" w:hAnsi="Times New Roman"/>
              <w:b w:val="0"/>
              <w:bCs/>
              <w:sz w:val="22"/>
            </w:rPr>
          </w:pPr>
          <w:r w:rsidRPr="001313CB">
            <w:rPr>
              <w:rFonts w:ascii="Times New Roman" w:hAnsi="Times New Roman"/>
              <w:b w:val="0"/>
              <w:bCs/>
              <w:sz w:val="22"/>
            </w:rPr>
            <w:t>Qualitätsmanagementhandbuch</w:t>
          </w:r>
        </w:p>
        <w:p w14:paraId="26F480D7" w14:textId="77777777" w:rsidR="001313CB" w:rsidRPr="001313CB" w:rsidRDefault="001313CB" w:rsidP="001313CB">
          <w:pPr>
            <w:tabs>
              <w:tab w:val="left" w:pos="600"/>
              <w:tab w:val="left" w:pos="643"/>
              <w:tab w:val="center" w:pos="2056"/>
            </w:tabs>
            <w:jc w:val="center"/>
          </w:pPr>
          <w:r w:rsidRPr="001313CB">
            <w:t>Sterilisationsmodul EinsLaz 72/180</w:t>
          </w:r>
        </w:p>
        <w:p w14:paraId="0CFF819D" w14:textId="77777777" w:rsidR="001313CB" w:rsidRPr="001313CB" w:rsidRDefault="001313CB" w:rsidP="001313CB">
          <w:pPr>
            <w:pStyle w:val="Kopfzeile"/>
            <w:jc w:val="center"/>
          </w:pPr>
        </w:p>
      </w:tc>
      <w:tc>
        <w:tcPr>
          <w:tcW w:w="2409" w:type="dxa"/>
          <w:vMerge w:val="restart"/>
        </w:tcPr>
        <w:p w14:paraId="411C1EC7" w14:textId="39294B2E" w:rsidR="001313CB" w:rsidRDefault="00E77FB2" w:rsidP="001313CB">
          <w:pPr>
            <w:pStyle w:val="Kopfzeile"/>
            <w:jc w:val="right"/>
          </w:pPr>
          <w:r w:rsidRPr="00E77FB2">
            <w:rPr>
              <w:b/>
              <w:sz w:val="18"/>
              <w:szCs w:val="18"/>
            </w:rPr>
            <w:t>VA_KPR_TSM_RED_02</w:t>
          </w:r>
        </w:p>
      </w:tc>
    </w:tr>
    <w:tr w:rsidR="001313CB" w14:paraId="1F30336E" w14:textId="77777777" w:rsidTr="00164C10">
      <w:tc>
        <w:tcPr>
          <w:tcW w:w="2409" w:type="dxa"/>
          <w:vMerge/>
        </w:tcPr>
        <w:p w14:paraId="14A9D920" w14:textId="77777777" w:rsidR="001313CB" w:rsidRDefault="001313CB" w:rsidP="001313CB">
          <w:pPr>
            <w:pStyle w:val="Kopfzeile"/>
            <w:jc w:val="center"/>
          </w:pPr>
        </w:p>
      </w:tc>
      <w:tc>
        <w:tcPr>
          <w:tcW w:w="4252" w:type="dxa"/>
        </w:tcPr>
        <w:p w14:paraId="52FB6CFA" w14:textId="77777777" w:rsidR="001313CB" w:rsidRPr="001313CB" w:rsidRDefault="001313CB" w:rsidP="001313CB">
          <w:pPr>
            <w:pStyle w:val="berschrift1"/>
            <w:jc w:val="center"/>
            <w:outlineLvl w:val="0"/>
            <w:rPr>
              <w:rFonts w:ascii="Times New Roman" w:hAnsi="Times New Roman"/>
              <w:sz w:val="22"/>
            </w:rPr>
          </w:pPr>
          <w:r w:rsidRPr="001313CB">
            <w:rPr>
              <w:rFonts w:ascii="Times New Roman" w:hAnsi="Times New Roman"/>
              <w:sz w:val="22"/>
            </w:rPr>
            <w:t>Verfahrensanweisung</w:t>
          </w:r>
        </w:p>
        <w:p w14:paraId="1290902F" w14:textId="77777777" w:rsidR="001313CB" w:rsidRPr="001313CB" w:rsidRDefault="001313CB" w:rsidP="001313CB">
          <w:pPr>
            <w:pStyle w:val="Kopfzeile"/>
            <w:jc w:val="center"/>
          </w:pPr>
        </w:p>
      </w:tc>
      <w:tc>
        <w:tcPr>
          <w:tcW w:w="2409" w:type="dxa"/>
          <w:vMerge/>
        </w:tcPr>
        <w:p w14:paraId="4EF81AFD" w14:textId="77777777" w:rsidR="001313CB" w:rsidRDefault="001313CB" w:rsidP="001313CB">
          <w:pPr>
            <w:pStyle w:val="Kopfzeile"/>
            <w:jc w:val="center"/>
          </w:pPr>
        </w:p>
      </w:tc>
    </w:tr>
    <w:tr w:rsidR="001313CB" w14:paraId="28949DA9" w14:textId="77777777" w:rsidTr="00164C10">
      <w:tc>
        <w:tcPr>
          <w:tcW w:w="2409" w:type="dxa"/>
          <w:vMerge/>
        </w:tcPr>
        <w:p w14:paraId="1731BC6F" w14:textId="77777777" w:rsidR="001313CB" w:rsidRDefault="001313CB" w:rsidP="001313CB">
          <w:pPr>
            <w:pStyle w:val="Kopfzeile"/>
            <w:jc w:val="center"/>
          </w:pPr>
        </w:p>
      </w:tc>
      <w:tc>
        <w:tcPr>
          <w:tcW w:w="4252" w:type="dxa"/>
        </w:tcPr>
        <w:p w14:paraId="6A16AE03" w14:textId="32458154" w:rsidR="001313CB" w:rsidRPr="00E77FB2" w:rsidRDefault="00E77FB2" w:rsidP="001313CB">
          <w:pPr>
            <w:pStyle w:val="Kopfzeile"/>
            <w:jc w:val="center"/>
            <w:rPr>
              <w:b/>
            </w:rPr>
          </w:pPr>
          <w:r w:rsidRPr="00E77FB2">
            <w:rPr>
              <w:b/>
            </w:rPr>
            <w:t>Maschinelle Reinigung und Desinfektion</w:t>
          </w:r>
        </w:p>
        <w:p w14:paraId="031E9212" w14:textId="77777777" w:rsidR="001313CB" w:rsidRPr="001313CB" w:rsidRDefault="001313CB" w:rsidP="001313CB">
          <w:pPr>
            <w:pStyle w:val="Kopfzeile"/>
            <w:jc w:val="center"/>
          </w:pPr>
        </w:p>
      </w:tc>
      <w:tc>
        <w:tcPr>
          <w:tcW w:w="2409" w:type="dxa"/>
          <w:vMerge/>
        </w:tcPr>
        <w:p w14:paraId="46D65C02" w14:textId="77777777" w:rsidR="001313CB" w:rsidRDefault="001313CB" w:rsidP="001313CB">
          <w:pPr>
            <w:pStyle w:val="Kopfzeile"/>
            <w:jc w:val="center"/>
          </w:pPr>
        </w:p>
      </w:tc>
    </w:tr>
  </w:tbl>
  <w:p w14:paraId="68711A35" w14:textId="77777777" w:rsidR="001313CB" w:rsidRPr="001313CB" w:rsidRDefault="001313C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650B8" w14:textId="77777777" w:rsidR="008A6ED5" w:rsidRDefault="008A6ED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3A80"/>
    <w:multiLevelType w:val="hybridMultilevel"/>
    <w:tmpl w:val="09AC54E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FB2"/>
    <w:rsid w:val="0008637B"/>
    <w:rsid w:val="001313CB"/>
    <w:rsid w:val="00164C10"/>
    <w:rsid w:val="00184F28"/>
    <w:rsid w:val="001A7A8A"/>
    <w:rsid w:val="001F63CF"/>
    <w:rsid w:val="00251F9A"/>
    <w:rsid w:val="003846F1"/>
    <w:rsid w:val="0039709C"/>
    <w:rsid w:val="00616993"/>
    <w:rsid w:val="00626530"/>
    <w:rsid w:val="006B1039"/>
    <w:rsid w:val="00742D72"/>
    <w:rsid w:val="007F5C75"/>
    <w:rsid w:val="008A6ED5"/>
    <w:rsid w:val="008C0669"/>
    <w:rsid w:val="009347E0"/>
    <w:rsid w:val="009C32EE"/>
    <w:rsid w:val="009E77EE"/>
    <w:rsid w:val="00A935AB"/>
    <w:rsid w:val="00E77FB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548FA6"/>
  <w15:chartTrackingRefBased/>
  <w15:docId w15:val="{7DFE9558-45F8-4243-9F86-FC0C8FE1B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qFormat/>
    <w:rsid w:val="001313CB"/>
    <w:pPr>
      <w:keepNext/>
      <w:spacing w:after="0" w:line="240" w:lineRule="auto"/>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313C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313CB"/>
  </w:style>
  <w:style w:type="paragraph" w:styleId="Fuzeile">
    <w:name w:val="footer"/>
    <w:basedOn w:val="Standard"/>
    <w:link w:val="FuzeileZchn"/>
    <w:uiPriority w:val="99"/>
    <w:unhideWhenUsed/>
    <w:rsid w:val="001313C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313CB"/>
  </w:style>
  <w:style w:type="table" w:styleId="Tabellenraster">
    <w:name w:val="Table Grid"/>
    <w:basedOn w:val="NormaleTabelle"/>
    <w:uiPriority w:val="39"/>
    <w:rsid w:val="001313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rsid w:val="001313CB"/>
    <w:rPr>
      <w:rFonts w:ascii="Arial" w:eastAsia="Times New Roman" w:hAnsi="Arial" w:cs="Times New Roman"/>
      <w:b/>
      <w:sz w:val="24"/>
      <w:szCs w:val="20"/>
      <w:lang w:eastAsia="de-DE"/>
    </w:rPr>
  </w:style>
  <w:style w:type="paragraph" w:customStyle="1" w:styleId="InhaltVA">
    <w:name w:val="Inhalt VA"/>
    <w:basedOn w:val="Standard"/>
    <w:uiPriority w:val="99"/>
    <w:rsid w:val="00E77FB2"/>
    <w:pPr>
      <w:spacing w:after="0" w:line="240" w:lineRule="auto"/>
      <w:jc w:val="both"/>
    </w:pPr>
    <w:rPr>
      <w:rFonts w:eastAsia="Times New Roman"/>
      <w:color w:val="00000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7756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rald.moll\Documents\Benutzerdefinierte%20Office-Vorlagen\Verfahrensanweisung.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5870526340E8E44A12F7752DCA95FC1" ma:contentTypeVersion="14" ma:contentTypeDescription="Ein neues Dokument erstellen." ma:contentTypeScope="" ma:versionID="296f57fd893c52abf375e630861193ed">
  <xsd:schema xmlns:xsd="http://www.w3.org/2001/XMLSchema" xmlns:xs="http://www.w3.org/2001/XMLSchema" xmlns:p="http://schemas.microsoft.com/office/2006/metadata/properties" xmlns:ns2="5d3a0587-32f0-408c-ae27-228ca0b9607a" xmlns:ns3="f0e05c98-3b22-49b0-91d2-b7d7b1ebf153" targetNamespace="http://schemas.microsoft.com/office/2006/metadata/properties" ma:root="true" ma:fieldsID="8c6097249718ec3c68390bb53ed7be88" ns2:_="" ns3:_="">
    <xsd:import namespace="5d3a0587-32f0-408c-ae27-228ca0b9607a"/>
    <xsd:import namespace="f0e05c98-3b22-49b0-91d2-b7d7b1ebf15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3a0587-32f0-408c-ae27-228ca0b960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f7ecf42b-9e32-4bd8-91aa-1e09e53c496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0e05c98-3b22-49b0-91d2-b7d7b1ebf15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0722f33-6d71-4630-b0c9-929fbf32721f}" ma:internalName="TaxCatchAll" ma:showField="CatchAllData" ma:web="f0e05c98-3b22-49b0-91d2-b7d7b1ebf15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198474-3228-4E65-87BF-5BEFE5B011FA}"/>
</file>

<file path=customXml/itemProps2.xml><?xml version="1.0" encoding="utf-8"?>
<ds:datastoreItem xmlns:ds="http://schemas.openxmlformats.org/officeDocument/2006/customXml" ds:itemID="{889063E2-8789-465C-850D-66F14F21A064}"/>
</file>

<file path=docProps/app.xml><?xml version="1.0" encoding="utf-8"?>
<Properties xmlns="http://schemas.openxmlformats.org/officeDocument/2006/extended-properties" xmlns:vt="http://schemas.openxmlformats.org/officeDocument/2006/docPropsVTypes">
  <Template>Verfahrensanweisung</Template>
  <TotalTime>0</TotalTime>
  <Pages>1</Pages>
  <Words>315</Words>
  <Characters>1989</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Harald.Moll@hp-med.com</dc:creator>
  <cp:keywords/>
  <dc:description/>
  <cp:lastModifiedBy>Harald Moll</cp:lastModifiedBy>
  <cp:revision>4</cp:revision>
  <dcterms:created xsi:type="dcterms:W3CDTF">2021-07-23T09:28:00Z</dcterms:created>
  <dcterms:modified xsi:type="dcterms:W3CDTF">2022-01-28T11:31:00Z</dcterms:modified>
</cp:coreProperties>
</file>