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1D75EDB7" w14:textId="77777777" w:rsidTr="00276325">
        <w:tc>
          <w:tcPr>
            <w:tcW w:w="9071" w:type="dxa"/>
            <w:gridSpan w:val="2"/>
          </w:tcPr>
          <w:p w14:paraId="5D5192B4" w14:textId="77777777" w:rsidR="001313CB" w:rsidRPr="001313CB" w:rsidRDefault="001313CB" w:rsidP="001313CB">
            <w:pPr>
              <w:jc w:val="center"/>
            </w:pPr>
            <w:r w:rsidRPr="001313CB">
              <w:rPr>
                <w:b/>
                <w:szCs w:val="24"/>
              </w:rPr>
              <w:t>Stammblatt</w:t>
            </w:r>
          </w:p>
        </w:tc>
      </w:tr>
      <w:tr w:rsidR="00276325" w14:paraId="6F86925C" w14:textId="77777777" w:rsidTr="00276325">
        <w:tc>
          <w:tcPr>
            <w:tcW w:w="3685" w:type="dxa"/>
            <w:vAlign w:val="center"/>
          </w:tcPr>
          <w:p w14:paraId="502D55A7" w14:textId="77777777" w:rsidR="00276325" w:rsidRPr="001313CB" w:rsidRDefault="00276325" w:rsidP="00276325">
            <w:r w:rsidRPr="001313CB">
              <w:rPr>
                <w:b/>
                <w:szCs w:val="24"/>
              </w:rPr>
              <w:t>Ziel</w:t>
            </w:r>
          </w:p>
        </w:tc>
        <w:tc>
          <w:tcPr>
            <w:tcW w:w="5386" w:type="dxa"/>
          </w:tcPr>
          <w:p w14:paraId="763BCF24" w14:textId="3F1C9E73" w:rsidR="00276325" w:rsidRPr="00276325" w:rsidRDefault="00276325" w:rsidP="00276325">
            <w:r w:rsidRPr="00276325">
              <w:t xml:space="preserve">Vorgehensweise bei der manuellen Aufbereitung von MP in </w:t>
            </w:r>
            <w:proofErr w:type="spellStart"/>
            <w:r w:rsidRPr="00276325">
              <w:t>Worst</w:t>
            </w:r>
            <w:proofErr w:type="spellEnd"/>
            <w:r w:rsidRPr="00276325">
              <w:t>-Case-Situationen bzw. als Ausfallskonzept</w:t>
            </w:r>
          </w:p>
        </w:tc>
      </w:tr>
      <w:tr w:rsidR="00276325" w14:paraId="099494DD" w14:textId="77777777" w:rsidTr="00276325">
        <w:tc>
          <w:tcPr>
            <w:tcW w:w="3685" w:type="dxa"/>
            <w:vAlign w:val="center"/>
          </w:tcPr>
          <w:p w14:paraId="18A9BE0C" w14:textId="77777777" w:rsidR="00276325" w:rsidRPr="001313CB" w:rsidRDefault="00276325" w:rsidP="00276325">
            <w:r w:rsidRPr="001313CB">
              <w:rPr>
                <w:b/>
                <w:szCs w:val="24"/>
              </w:rPr>
              <w:t>Anwendungsbereich</w:t>
            </w:r>
          </w:p>
        </w:tc>
        <w:tc>
          <w:tcPr>
            <w:tcW w:w="5386" w:type="dxa"/>
          </w:tcPr>
          <w:p w14:paraId="42EC981E" w14:textId="47F78A3A" w:rsidR="00276325" w:rsidRPr="00276325" w:rsidRDefault="00276325" w:rsidP="00276325">
            <w:r w:rsidRPr="00276325">
              <w:t>AEMP EL – RuD-Bereich</w:t>
            </w:r>
          </w:p>
        </w:tc>
      </w:tr>
      <w:tr w:rsidR="00276325" w14:paraId="7453F271" w14:textId="77777777" w:rsidTr="00276325">
        <w:tc>
          <w:tcPr>
            <w:tcW w:w="3685" w:type="dxa"/>
            <w:vAlign w:val="center"/>
          </w:tcPr>
          <w:p w14:paraId="241F8D39" w14:textId="77777777" w:rsidR="00276325" w:rsidRPr="001313CB" w:rsidRDefault="00276325" w:rsidP="00276325">
            <w:r w:rsidRPr="001313CB">
              <w:rPr>
                <w:b/>
                <w:szCs w:val="24"/>
              </w:rPr>
              <w:t>Zuständigkeit/Verantwortlichkeit</w:t>
            </w:r>
          </w:p>
        </w:tc>
        <w:tc>
          <w:tcPr>
            <w:tcW w:w="5386" w:type="dxa"/>
          </w:tcPr>
          <w:p w14:paraId="69797A41" w14:textId="05FB6606" w:rsidR="00276325" w:rsidRPr="00276325" w:rsidRDefault="009E7647" w:rsidP="00276325">
            <w:r>
              <w:t>TSA</w:t>
            </w:r>
            <w:r w:rsidR="00276325" w:rsidRPr="00276325">
              <w:t>/Leitung AEMP</w:t>
            </w:r>
          </w:p>
        </w:tc>
      </w:tr>
      <w:tr w:rsidR="00276325" w14:paraId="109AC2F1" w14:textId="77777777" w:rsidTr="00276325">
        <w:tc>
          <w:tcPr>
            <w:tcW w:w="3685" w:type="dxa"/>
            <w:vAlign w:val="center"/>
          </w:tcPr>
          <w:p w14:paraId="5388C94B" w14:textId="77777777" w:rsidR="00276325" w:rsidRPr="001313CB" w:rsidRDefault="00276325" w:rsidP="00276325">
            <w:r w:rsidRPr="001313CB">
              <w:rPr>
                <w:b/>
                <w:szCs w:val="24"/>
              </w:rPr>
              <w:t>Mitgeltende Dokumente</w:t>
            </w:r>
          </w:p>
        </w:tc>
        <w:tc>
          <w:tcPr>
            <w:tcW w:w="5386" w:type="dxa"/>
            <w:tcMar>
              <w:right w:w="28" w:type="dxa"/>
            </w:tcMar>
          </w:tcPr>
          <w:p w14:paraId="5DECEA9B" w14:textId="77777777" w:rsidR="00276325" w:rsidRPr="00276325" w:rsidRDefault="00276325" w:rsidP="00276325">
            <w:pPr>
              <w:pStyle w:val="InhaltVA"/>
              <w:rPr>
                <w:color w:val="auto"/>
                <w:szCs w:val="22"/>
              </w:rPr>
            </w:pPr>
            <w:proofErr w:type="spellStart"/>
            <w:r w:rsidRPr="00276325">
              <w:rPr>
                <w:color w:val="auto"/>
                <w:szCs w:val="22"/>
              </w:rPr>
              <w:t>Leitline_Validierung_Manuelle_RuD</w:t>
            </w:r>
            <w:proofErr w:type="spellEnd"/>
          </w:p>
          <w:p w14:paraId="64F12D39" w14:textId="77777777" w:rsidR="00276325" w:rsidRPr="00276325" w:rsidRDefault="00276325" w:rsidP="00276325">
            <w:pPr>
              <w:pStyle w:val="InhaltVA"/>
              <w:rPr>
                <w:color w:val="auto"/>
                <w:szCs w:val="22"/>
              </w:rPr>
            </w:pPr>
            <w:r w:rsidRPr="00276325">
              <w:rPr>
                <w:color w:val="auto"/>
                <w:szCs w:val="22"/>
              </w:rPr>
              <w:t>SAA_GRU_HYG_01_01_Personalhygiene</w:t>
            </w:r>
          </w:p>
          <w:p w14:paraId="1360D9A6" w14:textId="77777777" w:rsidR="00276325" w:rsidRPr="00276325" w:rsidRDefault="00276325" w:rsidP="00276325">
            <w:pPr>
              <w:pStyle w:val="InhaltVA"/>
              <w:rPr>
                <w:color w:val="auto"/>
                <w:szCs w:val="22"/>
              </w:rPr>
            </w:pPr>
            <w:r w:rsidRPr="00276325">
              <w:rPr>
                <w:color w:val="auto"/>
                <w:szCs w:val="22"/>
              </w:rPr>
              <w:t>SAA_KPR_TSM_VVT_01_01_Vorbereitung_Vorreinigung_Transp</w:t>
            </w:r>
          </w:p>
          <w:p w14:paraId="058A650A" w14:textId="77777777" w:rsidR="00276325" w:rsidRPr="00276325" w:rsidRDefault="00276325" w:rsidP="00276325">
            <w:pPr>
              <w:pStyle w:val="InhaltVA"/>
              <w:rPr>
                <w:color w:val="auto"/>
                <w:szCs w:val="22"/>
              </w:rPr>
            </w:pPr>
            <w:r w:rsidRPr="00276325">
              <w:rPr>
                <w:color w:val="auto"/>
                <w:szCs w:val="22"/>
              </w:rPr>
              <w:t>SAA_KPR_TSM_RED_01_01_Vorreinigung_URG</w:t>
            </w:r>
          </w:p>
          <w:p w14:paraId="2952D8CC" w14:textId="2DC84872" w:rsidR="00276325" w:rsidRPr="00276325" w:rsidRDefault="00276325" w:rsidP="00276325">
            <w:pPr>
              <w:pStyle w:val="InhaltVA"/>
              <w:rPr>
                <w:color w:val="auto"/>
                <w:szCs w:val="22"/>
              </w:rPr>
            </w:pPr>
            <w:r w:rsidRPr="00276325">
              <w:rPr>
                <w:color w:val="auto"/>
                <w:szCs w:val="22"/>
              </w:rPr>
              <w:t>SAA_UPR_AFK_02_01_Manuelle_RuD_Ansetzen_Desinfektionsmittelloesung</w:t>
            </w:r>
          </w:p>
          <w:p w14:paraId="6A53CB5F" w14:textId="361463F7" w:rsidR="00276325" w:rsidRPr="00276325" w:rsidRDefault="00276325" w:rsidP="00276325">
            <w:pPr>
              <w:pStyle w:val="InhaltVA"/>
              <w:rPr>
                <w:color w:val="auto"/>
                <w:szCs w:val="22"/>
              </w:rPr>
            </w:pPr>
            <w:r w:rsidRPr="00276325">
              <w:rPr>
                <w:color w:val="auto"/>
                <w:szCs w:val="22"/>
              </w:rPr>
              <w:t>SAA_UPR_AFK_03_01_Manuelle_RuD_Tauchdesinfektion_MP</w:t>
            </w:r>
          </w:p>
          <w:p w14:paraId="2BADDD5F" w14:textId="664C6979" w:rsidR="00276325" w:rsidRPr="00276325" w:rsidRDefault="00276325" w:rsidP="00276325">
            <w:pPr>
              <w:pStyle w:val="InhaltVA"/>
              <w:rPr>
                <w:color w:val="auto"/>
                <w:szCs w:val="22"/>
              </w:rPr>
            </w:pPr>
            <w:r w:rsidRPr="00276325">
              <w:rPr>
                <w:color w:val="auto"/>
                <w:szCs w:val="22"/>
              </w:rPr>
              <w:t>SAA_UPR_AFK_04_01_Manuelle_RuD_Container</w:t>
            </w:r>
          </w:p>
          <w:p w14:paraId="419F1FFB" w14:textId="608CDBFD" w:rsidR="00276325" w:rsidRPr="00276325" w:rsidRDefault="00276325" w:rsidP="00276325">
            <w:r w:rsidRPr="00276325">
              <w:t>SAA_UPR_AFK_05_01_Manuelle_RuD_Motorensysteme</w:t>
            </w:r>
          </w:p>
        </w:tc>
      </w:tr>
    </w:tbl>
    <w:p w14:paraId="1C355A77" w14:textId="16E06722" w:rsidR="00F65A1D" w:rsidRDefault="00EA1F86" w:rsidP="001313CB">
      <w:pPr>
        <w:spacing w:after="0" w:line="240" w:lineRule="auto"/>
      </w:pPr>
    </w:p>
    <w:p w14:paraId="39E13E3F" w14:textId="77777777" w:rsidR="00276325" w:rsidRDefault="00276325" w:rsidP="001313CB">
      <w:pPr>
        <w:spacing w:after="0" w:line="240" w:lineRule="auto"/>
      </w:pPr>
    </w:p>
    <w:p w14:paraId="45DC4293" w14:textId="3659D0DC" w:rsidR="001313CB" w:rsidRDefault="001313CB" w:rsidP="001313CB">
      <w:pPr>
        <w:spacing w:after="0" w:line="240" w:lineRule="auto"/>
        <w:rPr>
          <w:b/>
        </w:rPr>
      </w:pPr>
      <w:r w:rsidRPr="001313CB">
        <w:rPr>
          <w:b/>
        </w:rPr>
        <w:t>Prozessbeschreibung</w:t>
      </w:r>
    </w:p>
    <w:p w14:paraId="2EAE5759" w14:textId="7159B97C" w:rsidR="00276325" w:rsidRPr="00FE6260" w:rsidRDefault="00276325" w:rsidP="001313CB">
      <w:pPr>
        <w:spacing w:after="0" w:line="240" w:lineRule="auto"/>
        <w:rPr>
          <w:bCs/>
        </w:rPr>
      </w:pPr>
    </w:p>
    <w:p w14:paraId="693EF05F" w14:textId="77777777" w:rsidR="00276325" w:rsidRPr="00276325" w:rsidRDefault="00276325" w:rsidP="00276325">
      <w:pPr>
        <w:pStyle w:val="InhaltVA"/>
        <w:rPr>
          <w:color w:val="auto"/>
        </w:rPr>
      </w:pPr>
      <w:r w:rsidRPr="00276325">
        <w:rPr>
          <w:color w:val="auto"/>
        </w:rPr>
        <w:t>Um die Wirkung des Desinfektionsmittels bei einer manuellen Aufbereitung zu gewährleisten und auch die Proteine ausreichend zu entfernen, haben Ringversuche gezeigt, dass die Reinigung von Instrumenten unter Hinzuziehung der Ultraschallbehandlung deutlich verbessert werden konnte. Diese wird daher, unter der Voraussetzung, dass die Angaben des Herstellers eine Behandlung mit Ultraschall zulassen, unbedingt der Desinfektion vorgeschaltet werden.</w:t>
      </w:r>
    </w:p>
    <w:p w14:paraId="2E986359" w14:textId="77777777" w:rsidR="00276325" w:rsidRPr="00276325" w:rsidRDefault="00276325" w:rsidP="00276325">
      <w:pPr>
        <w:pStyle w:val="InhaltVA"/>
        <w:rPr>
          <w:color w:val="auto"/>
        </w:rPr>
      </w:pPr>
      <w:r w:rsidRPr="00276325">
        <w:rPr>
          <w:color w:val="auto"/>
        </w:rPr>
        <w:t>Des Weiteren sind bei der manuellen Aufbereitung die folgenden Punkte zu beachten:</w:t>
      </w:r>
    </w:p>
    <w:p w14:paraId="27282A52" w14:textId="77777777" w:rsidR="00276325" w:rsidRPr="00276325" w:rsidRDefault="00276325" w:rsidP="00276325">
      <w:pPr>
        <w:pStyle w:val="ArbeitsvorbereitungPunkte"/>
      </w:pPr>
      <w:r w:rsidRPr="00276325">
        <w:t>Das reinigende Desinfektionsmittel muss VAH gelistet und nachweislich bakterizid, fungizid und mindestens begrenzt viruzid wirken (Wirkungsbereich AB)</w:t>
      </w:r>
    </w:p>
    <w:p w14:paraId="4AEC4F39" w14:textId="77777777" w:rsidR="00276325" w:rsidRPr="00276325" w:rsidRDefault="00276325" w:rsidP="00276325">
      <w:pPr>
        <w:pStyle w:val="ArbeitsvorbereitungPunkte"/>
      </w:pPr>
      <w:r w:rsidRPr="00276325">
        <w:t>Die Angaben des Herstellers zur Dosierung und Einwirkzeit sind unbedingt einzuhalten</w:t>
      </w:r>
    </w:p>
    <w:p w14:paraId="66A829D4" w14:textId="77777777" w:rsidR="00276325" w:rsidRPr="00276325" w:rsidRDefault="00276325" w:rsidP="00276325">
      <w:pPr>
        <w:pStyle w:val="ArbeitsvorbereitungPunkte"/>
      </w:pPr>
      <w:r w:rsidRPr="00276325">
        <w:t>Verwendung von geeigneten Hilfsmitteln zur Entfernung von Schmutzresten (keine Metallbürsten und keine Scheuermittel verwenden!) in geeigneter Größe</w:t>
      </w:r>
    </w:p>
    <w:p w14:paraId="5C5987F9" w14:textId="77777777" w:rsidR="00276325" w:rsidRPr="00276325" w:rsidRDefault="00276325" w:rsidP="00276325">
      <w:pPr>
        <w:pStyle w:val="ArbeitsvorbereitungPunkte"/>
      </w:pPr>
      <w:r w:rsidRPr="00276325">
        <w:t>Wechsel der Desinfektionslösung bei sichtbarer Verschmutzung oder arbeitstäglich, ansonsten droht Korrosionsgefahr durch Schmutzbelastung, sowie Abnahme der Desinfektionswirkung bei zu starker Verschmutzung</w:t>
      </w:r>
    </w:p>
    <w:p w14:paraId="71C2531D" w14:textId="77777777" w:rsidR="00276325" w:rsidRPr="00276325" w:rsidRDefault="00276325" w:rsidP="00276325">
      <w:pPr>
        <w:pStyle w:val="ArbeitsvorbereitungPunkte"/>
      </w:pPr>
      <w:proofErr w:type="spellStart"/>
      <w:r w:rsidRPr="00276325">
        <w:t>Englumige</w:t>
      </w:r>
      <w:proofErr w:type="spellEnd"/>
      <w:r w:rsidRPr="00276325">
        <w:t xml:space="preserve"> Instrumente und Instrumente mit Hohlkörpern sind generell schwierig aufzubereiten, deshalb ist darauf zu achten, dass sie durchgängig sind und vollständig benetzt werden</w:t>
      </w:r>
    </w:p>
    <w:p w14:paraId="46FB82CF" w14:textId="77777777" w:rsidR="00276325" w:rsidRPr="00276325" w:rsidRDefault="00276325" w:rsidP="00276325">
      <w:pPr>
        <w:pStyle w:val="ArbeitsvorbereitungPunkte"/>
      </w:pPr>
      <w:r w:rsidRPr="00276325">
        <w:t>Ausreichende Schlussspülung (VE-Wasser) der Instrumente, um Reinigungs- und Desinfektionsmittelreste sicher zu entfernen</w:t>
      </w:r>
    </w:p>
    <w:p w14:paraId="39D62208" w14:textId="6B3CFE29" w:rsidR="00276325" w:rsidRPr="00276325" w:rsidRDefault="00276325" w:rsidP="00276325">
      <w:pPr>
        <w:pStyle w:val="ArbeitsvorbereitungPunkte"/>
      </w:pPr>
      <w:r w:rsidRPr="00276325">
        <w:t>Die Instrumente sind ausreichend zu trocknen mittels med</w:t>
      </w:r>
      <w:r>
        <w:t>izinischer</w:t>
      </w:r>
      <w:r w:rsidRPr="00276325">
        <w:t xml:space="preserve"> Druckluft (steril gefiltert/ölfrei) oder einem flusenfreien Tuch</w:t>
      </w:r>
    </w:p>
    <w:p w14:paraId="66E456C9" w14:textId="77777777" w:rsidR="00276325" w:rsidRPr="00276325" w:rsidRDefault="00276325" w:rsidP="00276325">
      <w:pPr>
        <w:pStyle w:val="ArbeitsvorbereitungPunkte"/>
      </w:pPr>
      <w:r w:rsidRPr="00276325">
        <w:t>Des Weiteren sind die Herstellerangaben zu den MP und die einzelnen SAA zur manuellen Reinigung und Desinfektion zu befolgen</w:t>
      </w:r>
    </w:p>
    <w:p w14:paraId="60E23A9A" w14:textId="77777777" w:rsidR="00276325" w:rsidRPr="00276325" w:rsidRDefault="00276325" w:rsidP="00276325">
      <w:pPr>
        <w:pStyle w:val="ArbeitsvorbereitungPunkte"/>
      </w:pPr>
      <w:r w:rsidRPr="00276325">
        <w:t>Für grundlegende Verfahren für Instrumentengruppen siehe Flussdiagramme auf den Folgeseiten</w:t>
      </w:r>
    </w:p>
    <w:p w14:paraId="61EF2120" w14:textId="0C2237DB" w:rsidR="00276325" w:rsidRDefault="00276325" w:rsidP="00276325">
      <w:pPr>
        <w:pStyle w:val="ArbeitsvorbereitungPunkte"/>
      </w:pPr>
      <w:r w:rsidRPr="00276325">
        <w:t xml:space="preserve">Die Aufbereitungsprozesse sind grundsätzlich maschinell validiert. Diese Anleitung soll als Handlungshilfe in </w:t>
      </w:r>
      <w:proofErr w:type="spellStart"/>
      <w:r w:rsidRPr="00276325">
        <w:t>Worst</w:t>
      </w:r>
      <w:proofErr w:type="spellEnd"/>
      <w:r w:rsidRPr="00276325">
        <w:t>-Case-Situationen bzw. als Ausfallkonzept dienen!</w:t>
      </w:r>
    </w:p>
    <w:p w14:paraId="1A2DC72E" w14:textId="785F26BA" w:rsidR="00276325" w:rsidRPr="00FE6260" w:rsidRDefault="00FE6260" w:rsidP="00FE6260">
      <w:pPr>
        <w:pStyle w:val="InhaltVA"/>
        <w:rPr>
          <w:color w:val="auto"/>
        </w:rPr>
      </w:pPr>
      <w:r w:rsidRPr="00FE6260">
        <w:rPr>
          <w:color w:val="auto"/>
        </w:rPr>
        <w:t>Die im Folgenden gezeigten Flussdiagramme wurden der Leitlinie zur Validierung der manuellen RuD entnommen.</w:t>
      </w:r>
      <w:r w:rsidR="00276325" w:rsidRPr="00FE6260">
        <w:rPr>
          <w:color w:val="auto"/>
        </w:rPr>
        <w:br w:type="page"/>
      </w:r>
    </w:p>
    <w:p w14:paraId="02AD89B3" w14:textId="56883E3D" w:rsidR="00276325" w:rsidRDefault="00276325" w:rsidP="001313CB">
      <w:pPr>
        <w:spacing w:after="0" w:line="240" w:lineRule="auto"/>
        <w:rPr>
          <w:bCs/>
        </w:rPr>
      </w:pPr>
    </w:p>
    <w:p w14:paraId="43C89C6E" w14:textId="18837BA1" w:rsidR="00276325" w:rsidRDefault="00276325" w:rsidP="001313CB">
      <w:pPr>
        <w:spacing w:after="0" w:line="240" w:lineRule="auto"/>
        <w:rPr>
          <w:bCs/>
        </w:rPr>
      </w:pPr>
      <w:r>
        <w:rPr>
          <w:noProof/>
        </w:rPr>
        <w:drawing>
          <wp:inline distT="0" distB="0" distL="0" distR="0" wp14:anchorId="0F150F5D" wp14:editId="1EAA5344">
            <wp:extent cx="5760000" cy="7078923"/>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00" cy="7078923"/>
                    </a:xfrm>
                    <a:prstGeom prst="rect">
                      <a:avLst/>
                    </a:prstGeom>
                  </pic:spPr>
                </pic:pic>
              </a:graphicData>
            </a:graphic>
          </wp:inline>
        </w:drawing>
      </w:r>
    </w:p>
    <w:p w14:paraId="072A9D45" w14:textId="07491CA4" w:rsidR="00276325" w:rsidRDefault="00276325">
      <w:pPr>
        <w:rPr>
          <w:bCs/>
        </w:rPr>
      </w:pPr>
      <w:r>
        <w:rPr>
          <w:bCs/>
        </w:rPr>
        <w:br w:type="page"/>
      </w:r>
    </w:p>
    <w:p w14:paraId="1ADC7741" w14:textId="16D7AA85" w:rsidR="00276325" w:rsidRDefault="00276325" w:rsidP="001313CB">
      <w:pPr>
        <w:spacing w:after="0" w:line="240" w:lineRule="auto"/>
        <w:rPr>
          <w:bCs/>
        </w:rPr>
      </w:pPr>
    </w:p>
    <w:p w14:paraId="6AB562BE" w14:textId="1B24CF1A" w:rsidR="00276325" w:rsidRDefault="00276325" w:rsidP="001313CB">
      <w:pPr>
        <w:spacing w:after="0" w:line="240" w:lineRule="auto"/>
        <w:rPr>
          <w:bCs/>
        </w:rPr>
      </w:pPr>
      <w:r>
        <w:rPr>
          <w:noProof/>
        </w:rPr>
        <w:drawing>
          <wp:inline distT="0" distB="0" distL="0" distR="0" wp14:anchorId="6BB0EDF4" wp14:editId="46F409B2">
            <wp:extent cx="5760000" cy="708923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00" cy="7089234"/>
                    </a:xfrm>
                    <a:prstGeom prst="rect">
                      <a:avLst/>
                    </a:prstGeom>
                  </pic:spPr>
                </pic:pic>
              </a:graphicData>
            </a:graphic>
          </wp:inline>
        </w:drawing>
      </w:r>
    </w:p>
    <w:p w14:paraId="6E29DF53" w14:textId="18000CD6" w:rsidR="00276325" w:rsidRDefault="00276325">
      <w:pPr>
        <w:rPr>
          <w:bCs/>
        </w:rPr>
      </w:pPr>
      <w:r>
        <w:rPr>
          <w:bCs/>
        </w:rPr>
        <w:br w:type="page"/>
      </w:r>
    </w:p>
    <w:p w14:paraId="54F92676" w14:textId="754569F6" w:rsidR="00276325" w:rsidRDefault="00276325" w:rsidP="001313CB">
      <w:pPr>
        <w:spacing w:after="0" w:line="240" w:lineRule="auto"/>
        <w:rPr>
          <w:bCs/>
        </w:rPr>
      </w:pPr>
    </w:p>
    <w:p w14:paraId="02FEEE31" w14:textId="17D41D4F" w:rsidR="00276325" w:rsidRDefault="00FE6260" w:rsidP="001313CB">
      <w:pPr>
        <w:spacing w:after="0" w:line="240" w:lineRule="auto"/>
        <w:rPr>
          <w:bCs/>
        </w:rPr>
      </w:pPr>
      <w:r>
        <w:rPr>
          <w:noProof/>
        </w:rPr>
        <w:drawing>
          <wp:inline distT="0" distB="0" distL="0" distR="0" wp14:anchorId="05CE4972" wp14:editId="63DFB29D">
            <wp:extent cx="5760000" cy="711226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7112263"/>
                    </a:xfrm>
                    <a:prstGeom prst="rect">
                      <a:avLst/>
                    </a:prstGeom>
                  </pic:spPr>
                </pic:pic>
              </a:graphicData>
            </a:graphic>
          </wp:inline>
        </w:drawing>
      </w:r>
    </w:p>
    <w:p w14:paraId="3F75253C" w14:textId="77777777" w:rsidR="00FE6260" w:rsidRPr="00276325" w:rsidRDefault="00FE6260" w:rsidP="001313CB">
      <w:pPr>
        <w:spacing w:after="0" w:line="240" w:lineRule="auto"/>
        <w:rPr>
          <w:bCs/>
        </w:rPr>
      </w:pPr>
    </w:p>
    <w:sectPr w:rsidR="00FE6260" w:rsidRPr="0027632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3803" w14:textId="77777777" w:rsidR="00EA1F86" w:rsidRDefault="00EA1F86" w:rsidP="001313CB">
      <w:pPr>
        <w:spacing w:after="0" w:line="240" w:lineRule="auto"/>
      </w:pPr>
      <w:r>
        <w:separator/>
      </w:r>
    </w:p>
  </w:endnote>
  <w:endnote w:type="continuationSeparator" w:id="0">
    <w:p w14:paraId="4B05176E" w14:textId="77777777" w:rsidR="00EA1F86" w:rsidRDefault="00EA1F86"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45A537AF" w14:textId="77777777" w:rsidTr="008C0669">
      <w:tc>
        <w:tcPr>
          <w:tcW w:w="1134" w:type="dxa"/>
          <w:tcMar>
            <w:left w:w="28" w:type="dxa"/>
            <w:right w:w="28" w:type="dxa"/>
          </w:tcMar>
        </w:tcPr>
        <w:p w14:paraId="5D16C888" w14:textId="77777777" w:rsidR="00164C10" w:rsidRPr="008C0669" w:rsidRDefault="00164C10" w:rsidP="00164C10">
          <w:pPr>
            <w:pStyle w:val="Fuzeile"/>
            <w:rPr>
              <w:sz w:val="16"/>
              <w:szCs w:val="16"/>
            </w:rPr>
          </w:pPr>
          <w:r w:rsidRPr="008C0669">
            <w:rPr>
              <w:spacing w:val="6"/>
              <w:sz w:val="16"/>
              <w:szCs w:val="16"/>
            </w:rPr>
            <w:t>Erstausgabe</w:t>
          </w:r>
          <w:r w:rsidRPr="008C0669">
            <w:rPr>
              <w:spacing w:val="4"/>
              <w:sz w:val="16"/>
              <w:szCs w:val="16"/>
            </w:rPr>
            <w:t>:</w:t>
          </w:r>
        </w:p>
      </w:tc>
      <w:tc>
        <w:tcPr>
          <w:tcW w:w="1134" w:type="dxa"/>
          <w:tcMar>
            <w:left w:w="28" w:type="dxa"/>
            <w:right w:w="28" w:type="dxa"/>
          </w:tcMar>
        </w:tcPr>
        <w:p w14:paraId="4E17F980" w14:textId="77777777" w:rsidR="00164C10" w:rsidRPr="008C0669" w:rsidRDefault="00164C10" w:rsidP="00164C10">
          <w:pPr>
            <w:pStyle w:val="Fuzeile"/>
            <w:rPr>
              <w:sz w:val="16"/>
              <w:szCs w:val="16"/>
            </w:rPr>
          </w:pPr>
        </w:p>
      </w:tc>
      <w:tc>
        <w:tcPr>
          <w:tcW w:w="1298" w:type="dxa"/>
          <w:tcMar>
            <w:left w:w="28" w:type="dxa"/>
            <w:right w:w="28" w:type="dxa"/>
          </w:tcMar>
        </w:tcPr>
        <w:p w14:paraId="08CB7327" w14:textId="77777777" w:rsidR="00164C10" w:rsidRPr="008C0669" w:rsidRDefault="00164C10" w:rsidP="00164C10">
          <w:pPr>
            <w:pStyle w:val="Fuzeile"/>
            <w:rPr>
              <w:sz w:val="16"/>
              <w:szCs w:val="16"/>
            </w:rPr>
          </w:pPr>
        </w:p>
      </w:tc>
      <w:tc>
        <w:tcPr>
          <w:tcW w:w="1298" w:type="dxa"/>
          <w:tcMar>
            <w:left w:w="28" w:type="dxa"/>
            <w:right w:w="28" w:type="dxa"/>
          </w:tcMar>
        </w:tcPr>
        <w:p w14:paraId="000D55DF" w14:textId="77777777" w:rsidR="00164C10" w:rsidRPr="008C0669" w:rsidRDefault="00164C10" w:rsidP="00164C10">
          <w:pPr>
            <w:pStyle w:val="Fuzeile"/>
            <w:rPr>
              <w:sz w:val="16"/>
              <w:szCs w:val="16"/>
            </w:rPr>
          </w:pPr>
          <w:r w:rsidRPr="008C0669">
            <w:rPr>
              <w:sz w:val="16"/>
              <w:szCs w:val="16"/>
            </w:rPr>
            <w:t>Datum</w:t>
          </w:r>
        </w:p>
      </w:tc>
      <w:tc>
        <w:tcPr>
          <w:tcW w:w="1474" w:type="dxa"/>
          <w:tcMar>
            <w:left w:w="28" w:type="dxa"/>
            <w:right w:w="28" w:type="dxa"/>
          </w:tcMar>
        </w:tcPr>
        <w:p w14:paraId="1AA3F00E" w14:textId="77777777" w:rsidR="00164C10" w:rsidRPr="008C0669" w:rsidRDefault="00164C10" w:rsidP="00164C10">
          <w:pPr>
            <w:pStyle w:val="Fuzeile"/>
            <w:rPr>
              <w:sz w:val="16"/>
              <w:szCs w:val="16"/>
            </w:rPr>
          </w:pPr>
          <w:r w:rsidRPr="008C0669">
            <w:rPr>
              <w:sz w:val="16"/>
              <w:szCs w:val="16"/>
            </w:rPr>
            <w:t>Name</w:t>
          </w:r>
        </w:p>
      </w:tc>
      <w:tc>
        <w:tcPr>
          <w:tcW w:w="2729" w:type="dxa"/>
          <w:gridSpan w:val="2"/>
          <w:vMerge w:val="restart"/>
          <w:tcMar>
            <w:left w:w="28" w:type="dxa"/>
            <w:right w:w="28" w:type="dxa"/>
          </w:tcMar>
        </w:tcPr>
        <w:p w14:paraId="1E3D0ABA" w14:textId="77777777" w:rsidR="00164C10" w:rsidRPr="008C0669" w:rsidRDefault="00164C10" w:rsidP="00164C10">
          <w:pPr>
            <w:pStyle w:val="Fuzeile"/>
            <w:rPr>
              <w:sz w:val="16"/>
              <w:szCs w:val="16"/>
            </w:rPr>
          </w:pPr>
          <w:r w:rsidRPr="008C0669">
            <w:rPr>
              <w:sz w:val="16"/>
              <w:szCs w:val="16"/>
            </w:rPr>
            <w:t>Dok.-Name:</w:t>
          </w:r>
        </w:p>
        <w:p w14:paraId="26D14733" w14:textId="2861F999" w:rsidR="008C0669" w:rsidRPr="008C0669" w:rsidRDefault="008C0669" w:rsidP="00164C10">
          <w:pPr>
            <w:pStyle w:val="Fuzeile"/>
            <w:rPr>
              <w:sz w:val="16"/>
              <w:szCs w:val="16"/>
            </w:rPr>
          </w:pPr>
          <w:r w:rsidRPr="008C0669">
            <w:rPr>
              <w:sz w:val="16"/>
              <w:szCs w:val="16"/>
            </w:rPr>
            <w:fldChar w:fldCharType="begin"/>
          </w:r>
          <w:r w:rsidRPr="008C0669">
            <w:rPr>
              <w:sz w:val="16"/>
              <w:szCs w:val="16"/>
            </w:rPr>
            <w:instrText xml:space="preserve"> FILENAME </w:instrText>
          </w:r>
          <w:r w:rsidRPr="008C0669">
            <w:rPr>
              <w:sz w:val="16"/>
              <w:szCs w:val="16"/>
            </w:rPr>
            <w:fldChar w:fldCharType="separate"/>
          </w:r>
          <w:r w:rsidR="000B798F">
            <w:rPr>
              <w:noProof/>
              <w:sz w:val="16"/>
              <w:szCs w:val="16"/>
            </w:rPr>
            <w:t>VA_UPR_AFK_02_01_Manuelle_RuD</w:t>
          </w:r>
          <w:r w:rsidRPr="008C0669">
            <w:rPr>
              <w:sz w:val="16"/>
              <w:szCs w:val="16"/>
            </w:rPr>
            <w:fldChar w:fldCharType="end"/>
          </w:r>
        </w:p>
      </w:tc>
    </w:tr>
    <w:tr w:rsidR="00164C10" w:rsidRPr="00164C10" w14:paraId="269CF1D7" w14:textId="77777777" w:rsidTr="008C0669">
      <w:tc>
        <w:tcPr>
          <w:tcW w:w="1134" w:type="dxa"/>
          <w:tcMar>
            <w:left w:w="28" w:type="dxa"/>
            <w:right w:w="28" w:type="dxa"/>
          </w:tcMar>
        </w:tcPr>
        <w:p w14:paraId="6E560B57" w14:textId="77777777" w:rsidR="00164C10" w:rsidRPr="008C0669" w:rsidRDefault="00164C10" w:rsidP="00164C10">
          <w:pPr>
            <w:pStyle w:val="Fuzeile"/>
            <w:rPr>
              <w:sz w:val="16"/>
              <w:szCs w:val="16"/>
            </w:rPr>
          </w:pPr>
          <w:r w:rsidRPr="008C0669">
            <w:rPr>
              <w:sz w:val="16"/>
              <w:szCs w:val="16"/>
            </w:rPr>
            <w:t>Revision:</w:t>
          </w:r>
        </w:p>
      </w:tc>
      <w:tc>
        <w:tcPr>
          <w:tcW w:w="1134" w:type="dxa"/>
          <w:tcMar>
            <w:left w:w="28" w:type="dxa"/>
            <w:right w:w="28" w:type="dxa"/>
          </w:tcMar>
        </w:tcPr>
        <w:p w14:paraId="75FDEF7B" w14:textId="77777777" w:rsidR="00164C10" w:rsidRPr="008C0669" w:rsidRDefault="00164C10" w:rsidP="00164C10">
          <w:pPr>
            <w:pStyle w:val="Fuzeile"/>
            <w:rPr>
              <w:sz w:val="16"/>
              <w:szCs w:val="16"/>
            </w:rPr>
          </w:pPr>
          <w:r w:rsidRPr="008C0669">
            <w:rPr>
              <w:sz w:val="16"/>
              <w:szCs w:val="16"/>
            </w:rPr>
            <w:t>01</w:t>
          </w:r>
        </w:p>
      </w:tc>
      <w:tc>
        <w:tcPr>
          <w:tcW w:w="1298" w:type="dxa"/>
          <w:tcMar>
            <w:left w:w="28" w:type="dxa"/>
            <w:right w:w="28" w:type="dxa"/>
          </w:tcMar>
        </w:tcPr>
        <w:p w14:paraId="29D92AA9" w14:textId="77777777" w:rsidR="00164C10" w:rsidRPr="008C0669" w:rsidRDefault="00164C10" w:rsidP="00164C10">
          <w:pPr>
            <w:pStyle w:val="Fuzeile"/>
            <w:rPr>
              <w:sz w:val="16"/>
              <w:szCs w:val="16"/>
            </w:rPr>
          </w:pPr>
          <w:r w:rsidRPr="008C0669">
            <w:rPr>
              <w:sz w:val="16"/>
              <w:szCs w:val="16"/>
            </w:rPr>
            <w:t>Erstellt:</w:t>
          </w:r>
        </w:p>
      </w:tc>
      <w:tc>
        <w:tcPr>
          <w:tcW w:w="1298" w:type="dxa"/>
          <w:tcMar>
            <w:left w:w="28" w:type="dxa"/>
            <w:right w:w="28" w:type="dxa"/>
          </w:tcMar>
        </w:tcPr>
        <w:p w14:paraId="0B465B4E" w14:textId="61B5FF05" w:rsidR="00164C10" w:rsidRPr="008C0669" w:rsidRDefault="00D31598" w:rsidP="00164C10">
          <w:pPr>
            <w:pStyle w:val="Fuzeile"/>
            <w:rPr>
              <w:sz w:val="16"/>
              <w:szCs w:val="16"/>
            </w:rPr>
          </w:pPr>
          <w:r>
            <w:rPr>
              <w:sz w:val="16"/>
              <w:szCs w:val="16"/>
            </w:rPr>
            <w:t>09</w:t>
          </w:r>
          <w:r w:rsidR="00164C10" w:rsidRPr="008C0669">
            <w:rPr>
              <w:sz w:val="16"/>
              <w:szCs w:val="16"/>
            </w:rPr>
            <w:t>.08.2019</w:t>
          </w:r>
        </w:p>
      </w:tc>
      <w:tc>
        <w:tcPr>
          <w:tcW w:w="1474" w:type="dxa"/>
          <w:tcMar>
            <w:left w:w="28" w:type="dxa"/>
            <w:right w:w="28" w:type="dxa"/>
          </w:tcMar>
        </w:tcPr>
        <w:p w14:paraId="252984DF" w14:textId="77777777" w:rsidR="00164C10" w:rsidRPr="008C0669" w:rsidRDefault="00164C10" w:rsidP="00164C10">
          <w:pPr>
            <w:pStyle w:val="Fuzeile"/>
            <w:rPr>
              <w:sz w:val="16"/>
              <w:szCs w:val="16"/>
            </w:rPr>
          </w:pPr>
          <w:r w:rsidRPr="008C0669">
            <w:rPr>
              <w:sz w:val="16"/>
              <w:szCs w:val="16"/>
            </w:rPr>
            <w:t>Projektteam QM</w:t>
          </w:r>
        </w:p>
      </w:tc>
      <w:tc>
        <w:tcPr>
          <w:tcW w:w="2729" w:type="dxa"/>
          <w:gridSpan w:val="2"/>
          <w:vMerge/>
          <w:tcMar>
            <w:left w:w="28" w:type="dxa"/>
            <w:right w:w="28" w:type="dxa"/>
          </w:tcMar>
        </w:tcPr>
        <w:p w14:paraId="44DB2811" w14:textId="77777777" w:rsidR="00164C10" w:rsidRPr="008C0669" w:rsidRDefault="00164C10" w:rsidP="00164C10">
          <w:pPr>
            <w:pStyle w:val="Fuzeile"/>
            <w:rPr>
              <w:sz w:val="16"/>
              <w:szCs w:val="16"/>
            </w:rPr>
          </w:pPr>
        </w:p>
      </w:tc>
    </w:tr>
    <w:tr w:rsidR="00164C10" w:rsidRPr="00164C10" w14:paraId="0C6262D1" w14:textId="77777777" w:rsidTr="008C0669">
      <w:tc>
        <w:tcPr>
          <w:tcW w:w="1134" w:type="dxa"/>
          <w:tcMar>
            <w:left w:w="28" w:type="dxa"/>
            <w:right w:w="28" w:type="dxa"/>
          </w:tcMar>
        </w:tcPr>
        <w:p w14:paraId="6DF67A87" w14:textId="77777777" w:rsidR="00164C10" w:rsidRPr="008C0669" w:rsidRDefault="00164C10" w:rsidP="00164C10">
          <w:pPr>
            <w:pStyle w:val="Fuzeile"/>
            <w:rPr>
              <w:sz w:val="16"/>
              <w:szCs w:val="16"/>
            </w:rPr>
          </w:pPr>
        </w:p>
      </w:tc>
      <w:tc>
        <w:tcPr>
          <w:tcW w:w="1134" w:type="dxa"/>
          <w:tcMar>
            <w:left w:w="28" w:type="dxa"/>
            <w:right w:w="28" w:type="dxa"/>
          </w:tcMar>
        </w:tcPr>
        <w:p w14:paraId="23C77A71" w14:textId="77777777" w:rsidR="00164C10" w:rsidRPr="008C0669" w:rsidRDefault="00164C10" w:rsidP="00164C10">
          <w:pPr>
            <w:pStyle w:val="Fuzeile"/>
            <w:rPr>
              <w:sz w:val="16"/>
              <w:szCs w:val="16"/>
            </w:rPr>
          </w:pPr>
        </w:p>
      </w:tc>
      <w:tc>
        <w:tcPr>
          <w:tcW w:w="1298" w:type="dxa"/>
          <w:tcMar>
            <w:left w:w="28" w:type="dxa"/>
            <w:right w:w="28" w:type="dxa"/>
          </w:tcMar>
        </w:tcPr>
        <w:p w14:paraId="36B0FC05" w14:textId="77777777" w:rsidR="00164C10" w:rsidRPr="008C0669" w:rsidRDefault="00164C10" w:rsidP="00164C10">
          <w:pPr>
            <w:pStyle w:val="Fuzeile"/>
            <w:rPr>
              <w:sz w:val="16"/>
              <w:szCs w:val="16"/>
            </w:rPr>
          </w:pPr>
          <w:r w:rsidRPr="008C0669">
            <w:rPr>
              <w:sz w:val="16"/>
              <w:szCs w:val="16"/>
            </w:rPr>
            <w:t>Geprüft:</w:t>
          </w:r>
        </w:p>
      </w:tc>
      <w:tc>
        <w:tcPr>
          <w:tcW w:w="1298" w:type="dxa"/>
          <w:tcMar>
            <w:left w:w="28" w:type="dxa"/>
            <w:right w:w="28" w:type="dxa"/>
          </w:tcMar>
        </w:tcPr>
        <w:p w14:paraId="3EC123C8" w14:textId="77777777" w:rsidR="00164C10" w:rsidRPr="008C0669" w:rsidRDefault="00164C10" w:rsidP="00164C10">
          <w:pPr>
            <w:pStyle w:val="Fuzeile"/>
            <w:rPr>
              <w:sz w:val="16"/>
              <w:szCs w:val="16"/>
            </w:rPr>
          </w:pPr>
        </w:p>
      </w:tc>
      <w:tc>
        <w:tcPr>
          <w:tcW w:w="1474" w:type="dxa"/>
          <w:tcMar>
            <w:left w:w="28" w:type="dxa"/>
            <w:right w:w="28" w:type="dxa"/>
          </w:tcMar>
        </w:tcPr>
        <w:p w14:paraId="128692F0" w14:textId="77777777" w:rsidR="00164C10" w:rsidRPr="008C0669" w:rsidRDefault="00164C10" w:rsidP="00164C10">
          <w:pPr>
            <w:pStyle w:val="Fuzeile"/>
            <w:rPr>
              <w:sz w:val="16"/>
              <w:szCs w:val="16"/>
            </w:rPr>
          </w:pPr>
        </w:p>
      </w:tc>
      <w:tc>
        <w:tcPr>
          <w:tcW w:w="2729" w:type="dxa"/>
          <w:gridSpan w:val="2"/>
          <w:vMerge/>
          <w:tcMar>
            <w:left w:w="28" w:type="dxa"/>
            <w:right w:w="28" w:type="dxa"/>
          </w:tcMar>
        </w:tcPr>
        <w:p w14:paraId="4FBFCE83" w14:textId="77777777" w:rsidR="00164C10" w:rsidRPr="008C0669" w:rsidRDefault="00164C10" w:rsidP="00164C10">
          <w:pPr>
            <w:pStyle w:val="Fuzeile"/>
            <w:rPr>
              <w:sz w:val="16"/>
              <w:szCs w:val="16"/>
            </w:rPr>
          </w:pPr>
        </w:p>
      </w:tc>
    </w:tr>
    <w:tr w:rsidR="00164C10" w:rsidRPr="00164C10" w14:paraId="657583FF" w14:textId="77777777" w:rsidTr="008C0669">
      <w:tc>
        <w:tcPr>
          <w:tcW w:w="1134" w:type="dxa"/>
          <w:tcMar>
            <w:left w:w="28" w:type="dxa"/>
            <w:right w:w="28" w:type="dxa"/>
          </w:tcMar>
        </w:tcPr>
        <w:p w14:paraId="35759CA1" w14:textId="77777777" w:rsidR="00164C10" w:rsidRPr="008C0669" w:rsidRDefault="00164C10" w:rsidP="00164C10">
          <w:pPr>
            <w:pStyle w:val="Fuzeile"/>
            <w:rPr>
              <w:sz w:val="16"/>
              <w:szCs w:val="16"/>
            </w:rPr>
          </w:pPr>
          <w:r w:rsidRPr="008C0669">
            <w:rPr>
              <w:sz w:val="16"/>
              <w:szCs w:val="16"/>
            </w:rPr>
            <w:t>Stand:</w:t>
          </w:r>
        </w:p>
      </w:tc>
      <w:tc>
        <w:tcPr>
          <w:tcW w:w="1134" w:type="dxa"/>
          <w:tcMar>
            <w:left w:w="28" w:type="dxa"/>
            <w:right w:w="28" w:type="dxa"/>
          </w:tcMar>
        </w:tcPr>
        <w:p w14:paraId="7C06A8DF" w14:textId="68A726D5" w:rsidR="00164C10" w:rsidRPr="008C0669" w:rsidRDefault="00164C10" w:rsidP="00164C10">
          <w:pPr>
            <w:pStyle w:val="Fuzeile"/>
            <w:rPr>
              <w:sz w:val="16"/>
              <w:szCs w:val="16"/>
            </w:rPr>
          </w:pPr>
          <w:r w:rsidRPr="008C0669">
            <w:rPr>
              <w:sz w:val="16"/>
              <w:szCs w:val="16"/>
            </w:rPr>
            <w:fldChar w:fldCharType="begin"/>
          </w:r>
          <w:r w:rsidRPr="008C0669">
            <w:rPr>
              <w:sz w:val="16"/>
              <w:szCs w:val="16"/>
            </w:rPr>
            <w:instrText xml:space="preserve"> SAVEDATE  \@ "dd.MM.yyyy"  \* MERGEFORMAT </w:instrText>
          </w:r>
          <w:r w:rsidRPr="008C0669">
            <w:rPr>
              <w:sz w:val="16"/>
              <w:szCs w:val="16"/>
            </w:rPr>
            <w:fldChar w:fldCharType="separate"/>
          </w:r>
          <w:r w:rsidR="006204E0">
            <w:rPr>
              <w:noProof/>
              <w:sz w:val="16"/>
              <w:szCs w:val="16"/>
            </w:rPr>
            <w:t>17.08.2021</w:t>
          </w:r>
          <w:r w:rsidRPr="008C0669">
            <w:rPr>
              <w:sz w:val="16"/>
              <w:szCs w:val="16"/>
            </w:rPr>
            <w:fldChar w:fldCharType="end"/>
          </w:r>
        </w:p>
      </w:tc>
      <w:tc>
        <w:tcPr>
          <w:tcW w:w="1298" w:type="dxa"/>
          <w:tcMar>
            <w:left w:w="28" w:type="dxa"/>
            <w:right w:w="28" w:type="dxa"/>
          </w:tcMar>
        </w:tcPr>
        <w:p w14:paraId="268971CB" w14:textId="77777777" w:rsidR="00164C10" w:rsidRPr="008C0669" w:rsidRDefault="00164C10" w:rsidP="00164C10">
          <w:pPr>
            <w:pStyle w:val="Fuzeile"/>
            <w:rPr>
              <w:sz w:val="16"/>
              <w:szCs w:val="16"/>
            </w:rPr>
          </w:pPr>
          <w:r w:rsidRPr="008C0669">
            <w:rPr>
              <w:sz w:val="16"/>
              <w:szCs w:val="16"/>
            </w:rPr>
            <w:t>Freigegeben:</w:t>
          </w:r>
        </w:p>
      </w:tc>
      <w:tc>
        <w:tcPr>
          <w:tcW w:w="1298" w:type="dxa"/>
          <w:tcMar>
            <w:left w:w="28" w:type="dxa"/>
            <w:right w:w="28" w:type="dxa"/>
          </w:tcMar>
        </w:tcPr>
        <w:p w14:paraId="01DF391D" w14:textId="77777777" w:rsidR="00164C10" w:rsidRPr="008C0669" w:rsidRDefault="00164C10" w:rsidP="00164C10">
          <w:pPr>
            <w:pStyle w:val="Fuzeile"/>
            <w:rPr>
              <w:sz w:val="16"/>
              <w:szCs w:val="16"/>
            </w:rPr>
          </w:pPr>
        </w:p>
      </w:tc>
      <w:tc>
        <w:tcPr>
          <w:tcW w:w="1474" w:type="dxa"/>
          <w:tcMar>
            <w:left w:w="28" w:type="dxa"/>
            <w:right w:w="28" w:type="dxa"/>
          </w:tcMar>
        </w:tcPr>
        <w:p w14:paraId="6B9EC222" w14:textId="77777777" w:rsidR="00164C10" w:rsidRPr="008C0669" w:rsidRDefault="00164C10" w:rsidP="00164C10">
          <w:pPr>
            <w:pStyle w:val="Fuzeile"/>
            <w:rPr>
              <w:sz w:val="16"/>
              <w:szCs w:val="16"/>
            </w:rPr>
          </w:pPr>
        </w:p>
      </w:tc>
      <w:tc>
        <w:tcPr>
          <w:tcW w:w="1389" w:type="dxa"/>
          <w:tcMar>
            <w:left w:w="28" w:type="dxa"/>
            <w:right w:w="28" w:type="dxa"/>
          </w:tcMar>
        </w:tcPr>
        <w:p w14:paraId="448A7FD3" w14:textId="77777777" w:rsidR="00164C10" w:rsidRPr="008C0669" w:rsidRDefault="00164C10" w:rsidP="00164C10">
          <w:pPr>
            <w:pStyle w:val="Fuzeile"/>
            <w:rPr>
              <w:sz w:val="16"/>
              <w:szCs w:val="16"/>
            </w:rPr>
          </w:pPr>
          <w:r w:rsidRPr="008C0669">
            <w:rPr>
              <w:sz w:val="16"/>
              <w:szCs w:val="16"/>
            </w:rPr>
            <w:t>Seite:</w:t>
          </w:r>
        </w:p>
      </w:tc>
      <w:tc>
        <w:tcPr>
          <w:tcW w:w="1340" w:type="dxa"/>
          <w:tcMar>
            <w:left w:w="28" w:type="dxa"/>
            <w:right w:w="28" w:type="dxa"/>
          </w:tcMar>
        </w:tcPr>
        <w:p w14:paraId="10569A98" w14:textId="77777777" w:rsidR="00164C10" w:rsidRPr="008C0669" w:rsidRDefault="00164C10" w:rsidP="00164C10">
          <w:pPr>
            <w:pStyle w:val="Fuzeile"/>
            <w:jc w:val="right"/>
            <w:rPr>
              <w:sz w:val="16"/>
              <w:szCs w:val="16"/>
            </w:rPr>
          </w:pPr>
          <w:r w:rsidRPr="008C0669">
            <w:rPr>
              <w:sz w:val="16"/>
              <w:szCs w:val="16"/>
            </w:rPr>
            <w:fldChar w:fldCharType="begin"/>
          </w:r>
          <w:r w:rsidRPr="008C0669">
            <w:rPr>
              <w:sz w:val="16"/>
              <w:szCs w:val="16"/>
            </w:rPr>
            <w:instrText xml:space="preserve"> PAGE </w:instrText>
          </w:r>
          <w:r w:rsidRPr="008C0669">
            <w:rPr>
              <w:sz w:val="16"/>
              <w:szCs w:val="16"/>
            </w:rPr>
            <w:fldChar w:fldCharType="separate"/>
          </w:r>
          <w:r w:rsidRPr="008C0669">
            <w:rPr>
              <w:sz w:val="16"/>
              <w:szCs w:val="16"/>
            </w:rPr>
            <w:t>1</w:t>
          </w:r>
          <w:r w:rsidRPr="008C0669">
            <w:rPr>
              <w:sz w:val="16"/>
              <w:szCs w:val="16"/>
            </w:rPr>
            <w:fldChar w:fldCharType="end"/>
          </w:r>
          <w:r w:rsidRPr="008C0669">
            <w:rPr>
              <w:sz w:val="16"/>
              <w:szCs w:val="16"/>
            </w:rPr>
            <w:t xml:space="preserve"> von </w:t>
          </w:r>
          <w:r w:rsidRPr="008C0669">
            <w:rPr>
              <w:sz w:val="16"/>
              <w:szCs w:val="16"/>
            </w:rPr>
            <w:fldChar w:fldCharType="begin"/>
          </w:r>
          <w:r w:rsidRPr="008C0669">
            <w:rPr>
              <w:sz w:val="16"/>
              <w:szCs w:val="16"/>
            </w:rPr>
            <w:instrText xml:space="preserve"> NUMPAGES </w:instrText>
          </w:r>
          <w:r w:rsidRPr="008C0669">
            <w:rPr>
              <w:sz w:val="16"/>
              <w:szCs w:val="16"/>
            </w:rPr>
            <w:fldChar w:fldCharType="separate"/>
          </w:r>
          <w:r w:rsidRPr="008C0669">
            <w:rPr>
              <w:sz w:val="16"/>
              <w:szCs w:val="16"/>
            </w:rPr>
            <w:t>1</w:t>
          </w:r>
          <w:r w:rsidRPr="008C0669">
            <w:rPr>
              <w:sz w:val="16"/>
              <w:szCs w:val="16"/>
            </w:rPr>
            <w:fldChar w:fldCharType="end"/>
          </w:r>
        </w:p>
      </w:tc>
    </w:tr>
  </w:tbl>
  <w:p w14:paraId="6855B21D" w14:textId="77777777" w:rsidR="00164C10" w:rsidRPr="00164C10" w:rsidRDefault="00164C1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67F0" w14:textId="77777777" w:rsidR="00EA1F86" w:rsidRDefault="00EA1F86" w:rsidP="001313CB">
      <w:pPr>
        <w:spacing w:after="0" w:line="240" w:lineRule="auto"/>
      </w:pPr>
      <w:r>
        <w:separator/>
      </w:r>
    </w:p>
  </w:footnote>
  <w:footnote w:type="continuationSeparator" w:id="0">
    <w:p w14:paraId="3E625959" w14:textId="77777777" w:rsidR="00EA1F86" w:rsidRDefault="00EA1F86"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053E8A2F" w14:textId="77777777" w:rsidTr="00164C10">
      <w:trPr>
        <w:trHeight w:val="850"/>
      </w:trPr>
      <w:tc>
        <w:tcPr>
          <w:tcW w:w="2409" w:type="dxa"/>
          <w:vMerge w:val="restart"/>
        </w:tcPr>
        <w:p w14:paraId="2CBA55A5" w14:textId="6021237F" w:rsidR="001313CB" w:rsidRDefault="006204E0" w:rsidP="001313CB">
          <w:pPr>
            <w:pStyle w:val="Kopfzeile"/>
            <w:jc w:val="center"/>
          </w:pPr>
          <w:r>
            <w:rPr>
              <w:noProof/>
            </w:rPr>
            <w:drawing>
              <wp:anchor distT="0" distB="0" distL="114300" distR="114300" simplePos="0" relativeHeight="251659264" behindDoc="0" locked="0" layoutInCell="1" allowOverlap="1" wp14:anchorId="725BAFE7" wp14:editId="502A37B6">
                <wp:simplePos x="0" y="0"/>
                <wp:positionH relativeFrom="column">
                  <wp:align>center</wp:align>
                </wp:positionH>
                <wp:positionV relativeFrom="page">
                  <wp:align>top</wp:align>
                </wp:positionV>
                <wp:extent cx="1260000" cy="925200"/>
                <wp:effectExtent l="0" t="0" r="0" b="8255"/>
                <wp:wrapTopAndBottom/>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1"/>
                        <a:stretch>
                          <a:fillRect/>
                        </a:stretch>
                      </pic:blipFill>
                      <pic:spPr>
                        <a:xfrm>
                          <a:off x="0" y="0"/>
                          <a:ext cx="1260000" cy="925200"/>
                        </a:xfrm>
                        <a:prstGeom prst="rect">
                          <a:avLst/>
                        </a:prstGeom>
                      </pic:spPr>
                    </pic:pic>
                  </a:graphicData>
                </a:graphic>
                <wp14:sizeRelH relativeFrom="margin">
                  <wp14:pctWidth>0</wp14:pctWidth>
                </wp14:sizeRelH>
                <wp14:sizeRelV relativeFrom="margin">
                  <wp14:pctHeight>0</wp14:pctHeight>
                </wp14:sizeRelV>
              </wp:anchor>
            </w:drawing>
          </w:r>
        </w:p>
      </w:tc>
      <w:tc>
        <w:tcPr>
          <w:tcW w:w="4252" w:type="dxa"/>
        </w:tcPr>
        <w:p w14:paraId="037457CA"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21588061" w14:textId="77777777" w:rsidR="001313CB" w:rsidRPr="001313CB" w:rsidRDefault="001313CB" w:rsidP="001313CB">
          <w:pPr>
            <w:tabs>
              <w:tab w:val="left" w:pos="600"/>
              <w:tab w:val="left" w:pos="643"/>
              <w:tab w:val="center" w:pos="2056"/>
            </w:tabs>
            <w:jc w:val="center"/>
          </w:pPr>
          <w:r w:rsidRPr="001313CB">
            <w:t>Sterilisationsmodul EinsLaz 72/180</w:t>
          </w:r>
        </w:p>
        <w:p w14:paraId="5B41D238" w14:textId="77777777" w:rsidR="001313CB" w:rsidRPr="001313CB" w:rsidRDefault="001313CB" w:rsidP="001313CB">
          <w:pPr>
            <w:pStyle w:val="Kopfzeile"/>
            <w:jc w:val="center"/>
          </w:pPr>
        </w:p>
      </w:tc>
      <w:tc>
        <w:tcPr>
          <w:tcW w:w="2409" w:type="dxa"/>
          <w:vMerge w:val="restart"/>
        </w:tcPr>
        <w:p w14:paraId="072A850A" w14:textId="5178EABA" w:rsidR="001313CB" w:rsidRDefault="00276325" w:rsidP="001313CB">
          <w:pPr>
            <w:pStyle w:val="Kopfzeile"/>
            <w:jc w:val="right"/>
          </w:pPr>
          <w:r>
            <w:rPr>
              <w:b/>
            </w:rPr>
            <w:t>VA</w:t>
          </w:r>
          <w:r w:rsidR="001313CB">
            <w:rPr>
              <w:b/>
            </w:rPr>
            <w:t>_</w:t>
          </w:r>
          <w:r>
            <w:rPr>
              <w:b/>
            </w:rPr>
            <w:t>UPR</w:t>
          </w:r>
          <w:r w:rsidR="001313CB">
            <w:rPr>
              <w:b/>
            </w:rPr>
            <w:t>_</w:t>
          </w:r>
          <w:r>
            <w:rPr>
              <w:b/>
            </w:rPr>
            <w:t>AFK</w:t>
          </w:r>
          <w:r w:rsidR="001313CB" w:rsidRPr="00581B99">
            <w:rPr>
              <w:b/>
            </w:rPr>
            <w:t>_0</w:t>
          </w:r>
          <w:r w:rsidR="000B798F">
            <w:rPr>
              <w:b/>
            </w:rPr>
            <w:t>2</w:t>
          </w:r>
        </w:p>
      </w:tc>
    </w:tr>
    <w:tr w:rsidR="001313CB" w14:paraId="70A3FE58" w14:textId="77777777" w:rsidTr="00164C10">
      <w:tc>
        <w:tcPr>
          <w:tcW w:w="2409" w:type="dxa"/>
          <w:vMerge/>
        </w:tcPr>
        <w:p w14:paraId="4B47CD5E" w14:textId="77777777" w:rsidR="001313CB" w:rsidRDefault="001313CB" w:rsidP="001313CB">
          <w:pPr>
            <w:pStyle w:val="Kopfzeile"/>
            <w:jc w:val="center"/>
          </w:pPr>
        </w:p>
      </w:tc>
      <w:tc>
        <w:tcPr>
          <w:tcW w:w="4252" w:type="dxa"/>
        </w:tcPr>
        <w:p w14:paraId="1C9E7401"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05D51093" w14:textId="77777777" w:rsidR="001313CB" w:rsidRPr="001313CB" w:rsidRDefault="001313CB" w:rsidP="001313CB">
          <w:pPr>
            <w:pStyle w:val="Kopfzeile"/>
            <w:jc w:val="center"/>
          </w:pPr>
        </w:p>
      </w:tc>
      <w:tc>
        <w:tcPr>
          <w:tcW w:w="2409" w:type="dxa"/>
          <w:vMerge/>
        </w:tcPr>
        <w:p w14:paraId="59E99272" w14:textId="77777777" w:rsidR="001313CB" w:rsidRDefault="001313CB" w:rsidP="001313CB">
          <w:pPr>
            <w:pStyle w:val="Kopfzeile"/>
            <w:jc w:val="center"/>
          </w:pPr>
        </w:p>
      </w:tc>
    </w:tr>
    <w:tr w:rsidR="001313CB" w14:paraId="3D25D83A" w14:textId="77777777" w:rsidTr="00164C10">
      <w:tc>
        <w:tcPr>
          <w:tcW w:w="2409" w:type="dxa"/>
          <w:vMerge/>
        </w:tcPr>
        <w:p w14:paraId="5E617B7D" w14:textId="77777777" w:rsidR="001313CB" w:rsidRDefault="001313CB" w:rsidP="001313CB">
          <w:pPr>
            <w:pStyle w:val="Kopfzeile"/>
            <w:jc w:val="center"/>
          </w:pPr>
        </w:p>
      </w:tc>
      <w:tc>
        <w:tcPr>
          <w:tcW w:w="4252" w:type="dxa"/>
        </w:tcPr>
        <w:p w14:paraId="5CCB5E9F" w14:textId="21A8D5BC" w:rsidR="001313CB" w:rsidRPr="00276325" w:rsidRDefault="00276325" w:rsidP="001313CB">
          <w:pPr>
            <w:pStyle w:val="Kopfzeile"/>
            <w:jc w:val="center"/>
            <w:rPr>
              <w:b/>
            </w:rPr>
          </w:pPr>
          <w:r w:rsidRPr="00276325">
            <w:rPr>
              <w:b/>
            </w:rPr>
            <w:t>Manuelle Reinigung und Desinfektion</w:t>
          </w:r>
        </w:p>
        <w:p w14:paraId="00F9EF67" w14:textId="77777777" w:rsidR="001313CB" w:rsidRPr="001313CB" w:rsidRDefault="001313CB" w:rsidP="001313CB">
          <w:pPr>
            <w:pStyle w:val="Kopfzeile"/>
            <w:jc w:val="center"/>
          </w:pPr>
        </w:p>
      </w:tc>
      <w:tc>
        <w:tcPr>
          <w:tcW w:w="2409" w:type="dxa"/>
          <w:vMerge/>
        </w:tcPr>
        <w:p w14:paraId="0F61FCA4" w14:textId="77777777" w:rsidR="001313CB" w:rsidRDefault="001313CB" w:rsidP="001313CB">
          <w:pPr>
            <w:pStyle w:val="Kopfzeile"/>
            <w:jc w:val="center"/>
          </w:pPr>
        </w:p>
      </w:tc>
    </w:tr>
  </w:tbl>
  <w:p w14:paraId="6FE4F455" w14:textId="77777777" w:rsidR="001313CB" w:rsidRPr="001313CB" w:rsidRDefault="001313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26A04294"/>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5"/>
    <w:rsid w:val="00026721"/>
    <w:rsid w:val="00037389"/>
    <w:rsid w:val="0008637B"/>
    <w:rsid w:val="000B798F"/>
    <w:rsid w:val="001313CB"/>
    <w:rsid w:val="00164C10"/>
    <w:rsid w:val="001A7A8A"/>
    <w:rsid w:val="001F63CF"/>
    <w:rsid w:val="00276325"/>
    <w:rsid w:val="003846F1"/>
    <w:rsid w:val="0039709C"/>
    <w:rsid w:val="00616993"/>
    <w:rsid w:val="006204E0"/>
    <w:rsid w:val="00626530"/>
    <w:rsid w:val="006B1039"/>
    <w:rsid w:val="00742D72"/>
    <w:rsid w:val="008C0669"/>
    <w:rsid w:val="009347E0"/>
    <w:rsid w:val="009C32EE"/>
    <w:rsid w:val="009E7647"/>
    <w:rsid w:val="009E77EE"/>
    <w:rsid w:val="00A935AB"/>
    <w:rsid w:val="00C770B7"/>
    <w:rsid w:val="00D31598"/>
    <w:rsid w:val="00DB7F6D"/>
    <w:rsid w:val="00DD567B"/>
    <w:rsid w:val="00EA1F86"/>
    <w:rsid w:val="00FE6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A90E"/>
  <w15:chartTrackingRefBased/>
  <w15:docId w15:val="{74C85350-18D2-457D-AC56-E1B1A91D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uiPriority w:val="99"/>
    <w:rsid w:val="00276325"/>
    <w:pPr>
      <w:spacing w:after="0" w:line="240" w:lineRule="auto"/>
      <w:jc w:val="both"/>
    </w:pPr>
    <w:rPr>
      <w:rFonts w:eastAsia="Times New Roman"/>
      <w:color w:val="000000"/>
      <w:szCs w:val="20"/>
      <w:lang w:eastAsia="de-DE"/>
    </w:rPr>
  </w:style>
  <w:style w:type="paragraph" w:customStyle="1" w:styleId="ArbeitsvorbereitungPunkte">
    <w:name w:val="Arbeitsvorbereitung Punkte"/>
    <w:basedOn w:val="Standard"/>
    <w:link w:val="ArbeitsvorbereitungPunkteZchnZchn"/>
    <w:uiPriority w:val="99"/>
    <w:rsid w:val="00276325"/>
    <w:pPr>
      <w:numPr>
        <w:numId w:val="1"/>
      </w:numPr>
      <w:spacing w:after="0" w:line="240" w:lineRule="auto"/>
    </w:pPr>
    <w:rPr>
      <w:rFonts w:eastAsia="Times New Roman"/>
      <w:szCs w:val="20"/>
      <w:lang w:eastAsia="de-DE"/>
    </w:rPr>
  </w:style>
  <w:style w:type="character" w:customStyle="1" w:styleId="ArbeitsvorbereitungPunkteZchnZchn">
    <w:name w:val="Arbeitsvorbereitung Punkte Zchn Zchn"/>
    <w:link w:val="ArbeitsvorbereitungPunkte"/>
    <w:uiPriority w:val="99"/>
    <w:locked/>
    <w:rsid w:val="00276325"/>
    <w:rPr>
      <w:rFonts w:eastAsia="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C6018-ECA5-4796-B25D-1213F9A25D0F}"/>
</file>

<file path=customXml/itemProps2.xml><?xml version="1.0" encoding="utf-8"?>
<ds:datastoreItem xmlns:ds="http://schemas.openxmlformats.org/officeDocument/2006/customXml" ds:itemID="{A5DDFE6B-B7D3-411D-A05E-6F117FC99C5B}"/>
</file>

<file path=docProps/app.xml><?xml version="1.0" encoding="utf-8"?>
<Properties xmlns="http://schemas.openxmlformats.org/officeDocument/2006/extended-properties" xmlns:vt="http://schemas.openxmlformats.org/officeDocument/2006/docPropsVTypes">
  <Template>Verfahrensanweisung</Template>
  <TotalTime>0</TotalTime>
  <Pages>4</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7</cp:revision>
  <dcterms:created xsi:type="dcterms:W3CDTF">2021-05-04T05:57:00Z</dcterms:created>
  <dcterms:modified xsi:type="dcterms:W3CDTF">2022-02-02T15:14:00Z</dcterms:modified>
</cp:coreProperties>
</file>